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FA" w:rsidRPr="000E44FA" w:rsidRDefault="000E44FA" w:rsidP="000E44F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3"/>
          <w:lang w:eastAsia="lv-LV"/>
        </w:rPr>
      </w:pPr>
      <w:r w:rsidRPr="000E44FA">
        <w:rPr>
          <w:rFonts w:ascii="Times New Roman" w:eastAsia="Times New Roman" w:hAnsi="Times New Roman" w:cs="Times New Roman"/>
          <w:i/>
          <w:caps/>
          <w:sz w:val="24"/>
          <w:szCs w:val="23"/>
          <w:lang w:eastAsia="lv-LV"/>
        </w:rPr>
        <w:t>NORAKSTS</w:t>
      </w:r>
    </w:p>
    <w:p w:rsidR="004D4F21" w:rsidRPr="00765034" w:rsidRDefault="004D4F21" w:rsidP="004D4F21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caps/>
          <w:sz w:val="24"/>
          <w:szCs w:val="23"/>
          <w:lang w:eastAsia="lv-LV"/>
        </w:rPr>
        <w:t>Iepirkuma</w:t>
      </w:r>
    </w:p>
    <w:p w:rsidR="004D4F21" w:rsidRPr="00765034" w:rsidRDefault="004D4F21" w:rsidP="004D4F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“Administratīvās ēkas ieejas mezglu remonts un pieguļošās teritorijas labiekārtošana Mednieku ielā 12, Ogrē, Ogres novadā” (identifikācijas Nr. VAMOIC 2018/171)</w:t>
      </w:r>
    </w:p>
    <w:p w:rsidR="004D4F21" w:rsidRPr="00765034" w:rsidRDefault="004D4F21" w:rsidP="004D4F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sēdes</w:t>
      </w:r>
    </w:p>
    <w:p w:rsidR="004D4F21" w:rsidRPr="00765034" w:rsidRDefault="004D4F21" w:rsidP="004D4F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protokols Nr. VAMOIC 2018/171-05</w:t>
      </w:r>
    </w:p>
    <w:p w:rsidR="004D4F21" w:rsidRPr="00765034" w:rsidRDefault="004D4F21" w:rsidP="004D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4D4F21" w:rsidRPr="00765034" w:rsidRDefault="004D4F21" w:rsidP="004D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Rīgā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     </w:t>
      </w:r>
      <w:proofErr w:type="gramEnd"/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2018. gada 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3. oktobra</w:t>
      </w:r>
    </w:p>
    <w:p w:rsidR="004D4F21" w:rsidRPr="00765034" w:rsidRDefault="004D4F21" w:rsidP="004D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</w:p>
    <w:p w:rsidR="004D4F21" w:rsidRPr="00765034" w:rsidRDefault="004D4F21" w:rsidP="004D4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Iepirkuma komisijas, kas izveidota ar Valsts aizsardzības militāro objektu un iepirkumu centra (turpmāk - Centrs) 2018. gada 29.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</w:t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augusta rīkojumu </w:t>
      </w:r>
      <w:proofErr w:type="spellStart"/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Nr.RPDJ</w:t>
      </w:r>
      <w:proofErr w:type="spellEnd"/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/2018-1152 sastāvs.</w:t>
      </w:r>
    </w:p>
    <w:p w:rsidR="004D4F21" w:rsidRPr="00765034" w:rsidRDefault="004D4F21" w:rsidP="004D4F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 – Tatjana Rupaine, Centra Juridiskā un iepirkumu nodrošinājuma departamenta Infrastruktūras un apsaimniekošanas līgumu un iepirkumu nodaļas vecākā referente.</w:t>
      </w:r>
    </w:p>
    <w:p w:rsidR="004D4F21" w:rsidRPr="00765034" w:rsidRDefault="004D4F21" w:rsidP="004D4F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priekšsēdētājas vietnieks – Gunārs Grīnieks, Centra Būvniecības departamenta Būvprojektu izstrādes nodaļas vecākais būvinženieris.</w:t>
      </w:r>
    </w:p>
    <w:p w:rsidR="004D4F21" w:rsidRPr="00765034" w:rsidRDefault="004D4F21" w:rsidP="004D4F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locekļi:</w:t>
      </w:r>
    </w:p>
    <w:p w:rsidR="004D4F21" w:rsidRPr="00765034" w:rsidRDefault="004D4F21" w:rsidP="004D4F21">
      <w:pPr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Komisijas jurists – Edgars Vilītis, Centra Juridiskā un iepirkumu nodrošinājuma departamenta Infrastruktūras un apsaimniekošanas līgumu un iepirkumu nodaļas juriskonsults; </w:t>
      </w:r>
    </w:p>
    <w:p w:rsidR="004D4F21" w:rsidRPr="00765034" w:rsidRDefault="004D4F21" w:rsidP="004D4F21">
      <w:pPr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Seržants Mareks Ozoliņš – ZS 54. Inženiertehniskā bataljona Apgādes nodaļas Galvenais speciālists.</w:t>
      </w:r>
    </w:p>
    <w:p w:rsidR="004D4F21" w:rsidRPr="00765034" w:rsidRDefault="004D4F21" w:rsidP="004D4F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sekretāre –</w:t>
      </w:r>
      <w:r w:rsidRPr="00765034">
        <w:rPr>
          <w:rFonts w:ascii="Times New Roman" w:eastAsia="Calibri" w:hAnsi="Times New Roman" w:cs="Times New Roman"/>
          <w:sz w:val="24"/>
        </w:rPr>
        <w:t xml:space="preserve"> </w:t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Māra Runce, Centra Juridiskā un iepirkumu nodrošinājuma departamenta Infrastruktūras un apsaimniekošanas līgumu un iepirkumu nodaļas pārvaldes referente. </w:t>
      </w:r>
    </w:p>
    <w:p w:rsidR="004D4F21" w:rsidRPr="00765034" w:rsidRDefault="004D4F21" w:rsidP="004D4F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4D4F21" w:rsidRPr="00765034" w:rsidRDefault="004D4F21" w:rsidP="004D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Piedalās:</w:t>
      </w:r>
    </w:p>
    <w:p w:rsidR="004D4F21" w:rsidRPr="00765034" w:rsidRDefault="004D4F21" w:rsidP="004D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priekšsēdētāja:</w:t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T.Rupaine</w:t>
      </w:r>
    </w:p>
    <w:p w:rsidR="004D4F21" w:rsidRPr="00765034" w:rsidRDefault="004D4F21" w:rsidP="004D4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priekšsēdētājas vietnieks:</w:t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G.Grīnieks</w:t>
      </w:r>
    </w:p>
    <w:p w:rsidR="004D4F21" w:rsidRPr="00765034" w:rsidRDefault="001A39B4" w:rsidP="004D4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locekl</w:t>
      </w:r>
      <w:r w:rsidR="004D4F21">
        <w:rPr>
          <w:rFonts w:ascii="Times New Roman" w:eastAsia="Times New Roman" w:hAnsi="Times New Roman" w:cs="Times New Roman"/>
          <w:sz w:val="24"/>
          <w:szCs w:val="23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s</w:t>
      </w:r>
      <w:r w:rsidR="004D4F21"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:</w:t>
      </w:r>
      <w:r w:rsidR="004D4F21"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="004D4F21"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="004D4F21"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E.Vilītis</w:t>
      </w:r>
    </w:p>
    <w:p w:rsidR="004D4F21" w:rsidRPr="00765034" w:rsidRDefault="004D4F21" w:rsidP="004D4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sekretāre:</w:t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65034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M.Runce</w:t>
      </w:r>
    </w:p>
    <w:p w:rsidR="004D4F21" w:rsidRPr="00765034" w:rsidRDefault="004D4F21" w:rsidP="004D4F21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4D4F21" w:rsidRPr="00765034" w:rsidRDefault="004D4F21" w:rsidP="004D4F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765034"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  <w:t>Sēdi sāk:</w:t>
      </w:r>
      <w:r w:rsidRPr="00765034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 xml:space="preserve"> </w:t>
      </w:r>
      <w:r w:rsidRPr="00765034">
        <w:rPr>
          <w:rFonts w:ascii="Times New Roman" w:eastAsia="Times New Roman" w:hAnsi="Times New Roman" w:cs="Times New Roman"/>
          <w:snapToGrid w:val="0"/>
          <w:sz w:val="24"/>
          <w:szCs w:val="23"/>
        </w:rPr>
        <w:t>plkst. 1</w:t>
      </w:r>
      <w:r>
        <w:rPr>
          <w:rFonts w:ascii="Times New Roman" w:eastAsia="Times New Roman" w:hAnsi="Times New Roman" w:cs="Times New Roman"/>
          <w:snapToGrid w:val="0"/>
          <w:sz w:val="24"/>
          <w:szCs w:val="23"/>
        </w:rPr>
        <w:t>4.</w:t>
      </w:r>
      <w:r w:rsidR="007C54C6">
        <w:rPr>
          <w:rFonts w:ascii="Times New Roman" w:eastAsia="Times New Roman" w:hAnsi="Times New Roman" w:cs="Times New Roman"/>
          <w:snapToGrid w:val="0"/>
          <w:sz w:val="24"/>
          <w:szCs w:val="23"/>
        </w:rPr>
        <w:t>15</w:t>
      </w:r>
      <w:r>
        <w:rPr>
          <w:rFonts w:ascii="Times New Roman" w:eastAsia="Times New Roman" w:hAnsi="Times New Roman" w:cs="Times New Roman"/>
          <w:snapToGrid w:val="0"/>
          <w:sz w:val="24"/>
          <w:szCs w:val="23"/>
        </w:rPr>
        <w:t>.</w:t>
      </w:r>
    </w:p>
    <w:p w:rsidR="004D4F21" w:rsidRPr="00765034" w:rsidRDefault="004D4F21" w:rsidP="004D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3"/>
          <w:highlight w:val="yellow"/>
          <w:u w:val="single"/>
        </w:rPr>
      </w:pPr>
    </w:p>
    <w:p w:rsidR="004D4F21" w:rsidRPr="003973D2" w:rsidRDefault="004D4F21" w:rsidP="004D4F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3973D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Sēdes darba kārtība:</w:t>
      </w:r>
    </w:p>
    <w:p w:rsidR="004D4F21" w:rsidRDefault="004D4F21" w:rsidP="004D4F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973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Iepirkuma 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“Administratīvās ēkas ieejas mezglu remonts un pieguļošās teritorijas labiekārtošana Mednieku ielā 12, Ogrē, Ogres novadā”,</w:t>
      </w:r>
      <w:r w:rsidRPr="003973D2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 w:rsidRPr="003973D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tifikācijas Nr. VAMOIC 2018/171 (turpmāk – iepirkuma),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D4F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lēmuma pieņemšana par līguma slēgšanas tiesību piešķiršanu.</w:t>
      </w:r>
    </w:p>
    <w:p w:rsidR="004D4F21" w:rsidRPr="004D4F21" w:rsidRDefault="004D4F21" w:rsidP="004D4F21">
      <w:pPr>
        <w:widowControl w:val="0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4F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Lēmuma pieņemšana par līguma slēgšanas tiesību piešķiršanu: </w:t>
      </w:r>
    </w:p>
    <w:p w:rsidR="004D4F21" w:rsidRPr="004D4F21" w:rsidRDefault="004D4F21" w:rsidP="004D4F21">
      <w:pPr>
        <w:widowControl w:val="0"/>
        <w:numPr>
          <w:ilvl w:val="1"/>
          <w:numId w:val="3"/>
        </w:numPr>
        <w:spacing w:before="120"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Pamatojoties uz Publisko iepirkumu likuma 9. panta septīto un trīspadsmito daļu un iepirkuma nolikuma </w:t>
      </w:r>
      <w:r w:rsidR="001A131E" w:rsidRPr="007C54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17</w:t>
      </w:r>
      <w:r w:rsidRPr="007C54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.1.punktu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D4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piešķirt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līguma slēgšanas tiesības </w:t>
      </w:r>
      <w:r w:rsidRPr="004D4F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r w:rsidR="001A1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ULRE</w:t>
      </w:r>
      <w:r w:rsidRPr="004D4F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4D4F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(reģ.Nr.4</w:t>
      </w:r>
      <w:r w:rsidR="001A1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0003533239</w:t>
      </w:r>
      <w:r w:rsidRPr="004D4F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 līgumcenu </w:t>
      </w:r>
      <w:r w:rsidR="001A131E">
        <w:rPr>
          <w:rFonts w:ascii="Times New Roman" w:eastAsia="Calibri" w:hAnsi="Times New Roman" w:cs="Times New Roman"/>
          <w:b/>
          <w:sz w:val="24"/>
          <w:szCs w:val="24"/>
        </w:rPr>
        <w:t>31 566,93</w:t>
      </w:r>
      <w:r w:rsidRPr="004D4F21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4D4F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A13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trīsdesmit viens tūkstotis pieci simti sešdesmit seši </w:t>
      </w:r>
      <w:proofErr w:type="spellStart"/>
      <w:r w:rsidR="001A131E" w:rsidRPr="001A131E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 w:rsidR="001A13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93 centi</w:t>
      </w:r>
      <w:r w:rsidRPr="004D4F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bez PVN 21% un līguma kopējo summu </w:t>
      </w:r>
      <w:r w:rsidR="001A13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38 195,99 </w:t>
      </w:r>
      <w:r w:rsidRPr="004D4F21">
        <w:rPr>
          <w:rFonts w:ascii="Times New Roman" w:eastAsia="Calibri" w:hAnsi="Times New Roman" w:cs="Times New Roman"/>
          <w:sz w:val="24"/>
          <w:szCs w:val="24"/>
        </w:rPr>
        <w:t>EUR (</w:t>
      </w:r>
      <w:r w:rsidR="001A13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trīsdesmit astoņi tūkstoši viens simts deviņdesmit pieci </w:t>
      </w:r>
      <w:proofErr w:type="spellStart"/>
      <w:r w:rsidR="001A131E" w:rsidRPr="001A131E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 w:rsidR="001A13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99 centi</w:t>
      </w:r>
      <w:r w:rsidRPr="004D4F21">
        <w:rPr>
          <w:rFonts w:ascii="Times New Roman" w:eastAsia="Calibri" w:hAnsi="Times New Roman" w:cs="Times New Roman"/>
          <w:sz w:val="24"/>
          <w:szCs w:val="24"/>
        </w:rPr>
        <w:t>)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PVN 21%.</w:t>
      </w:r>
    </w:p>
    <w:p w:rsidR="004D4F21" w:rsidRPr="004D4F21" w:rsidRDefault="004D4F21" w:rsidP="004D4F21">
      <w:pPr>
        <w:widowControl w:val="0"/>
        <w:numPr>
          <w:ilvl w:val="1"/>
          <w:numId w:val="3"/>
        </w:numPr>
        <w:spacing w:before="120"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Pamatojoties uz Publisko iepirkumu likuma 9. panta trīspadsmito daļu: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D4F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nepiešķirt </w:t>
      </w:r>
      <w:r w:rsidRPr="004D4F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slēgšanas </w:t>
      </w: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tiesības SIA „</w:t>
      </w:r>
      <w:r w:rsidR="001A131E"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AVITERM</w:t>
      </w:r>
      <w:r w:rsidR="001A39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proofErr w:type="gramStart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reģ. Nr. </w:t>
      </w:r>
      <w:r w:rsidR="0083637E"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4010369022</w:t>
      </w: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piedāvājuma līgumcenu </w:t>
      </w:r>
      <w:r w:rsidRPr="001A39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1A39B4" w:rsidRPr="001A39B4">
        <w:rPr>
          <w:rFonts w:ascii="Times New Roman" w:eastAsia="Calibri" w:hAnsi="Times New Roman" w:cs="Times New Roman"/>
          <w:sz w:val="24"/>
          <w:szCs w:val="24"/>
        </w:rPr>
        <w:t>32 647,68</w:t>
      </w:r>
      <w:r w:rsidRPr="001A39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9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PVN 21% un līguma kopējo summu </w:t>
      </w:r>
      <w:r w:rsidR="001A39B4" w:rsidRPr="001A39B4">
        <w:rPr>
          <w:rFonts w:ascii="Times New Roman" w:eastAsia="Calibri" w:hAnsi="Times New Roman" w:cs="Times New Roman"/>
          <w:sz w:val="24"/>
          <w:szCs w:val="24"/>
        </w:rPr>
        <w:t>39 503,69</w:t>
      </w:r>
      <w:r w:rsidRPr="001A39B4">
        <w:rPr>
          <w:rFonts w:ascii="Times New Roman" w:eastAsia="Calibri" w:hAnsi="Times New Roman" w:cs="Times New Roman"/>
          <w:sz w:val="24"/>
          <w:szCs w:val="24"/>
        </w:rPr>
        <w:t xml:space="preserve"> EUR ar PVN 21%,</w:t>
      </w:r>
      <w:r w:rsidRPr="001A39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jo piedāvājums nav ar viszemāko cenu.</w:t>
      </w:r>
      <w:r w:rsidRPr="004D4F2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4D4F21" w:rsidRPr="0083637E" w:rsidRDefault="004D4F21" w:rsidP="004D4F21">
      <w:pPr>
        <w:numPr>
          <w:ilvl w:val="1"/>
          <w:numId w:val="3"/>
        </w:numPr>
        <w:spacing w:before="120" w:after="0" w:line="240" w:lineRule="auto"/>
        <w:ind w:left="993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83637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Komisijas juristam E.Vilītim:</w:t>
      </w:r>
    </w:p>
    <w:p w:rsidR="004D4F21" w:rsidRPr="001A39B4" w:rsidRDefault="004D4F21" w:rsidP="004D4F21">
      <w:pPr>
        <w:numPr>
          <w:ilvl w:val="2"/>
          <w:numId w:val="3"/>
        </w:numPr>
        <w:tabs>
          <w:tab w:val="left" w:pos="1560"/>
          <w:tab w:val="left" w:pos="1701"/>
          <w:tab w:val="left" w:pos="2552"/>
        </w:tabs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39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sagatavot komisijas lēmumam un piedāvājumam atbilstošu līgumu saskaņošanai un parakstīšanai ar </w:t>
      </w:r>
      <w:r w:rsidRPr="001A39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r w:rsidR="0083637E" w:rsidRPr="001A39B4">
        <w:rPr>
          <w:rFonts w:ascii="Times New Roman" w:eastAsia="Calibri" w:hAnsi="Times New Roman" w:cs="Times New Roman"/>
          <w:b/>
          <w:sz w:val="24"/>
          <w:szCs w:val="24"/>
        </w:rPr>
        <w:t>ULRE</w:t>
      </w:r>
      <w:r w:rsidRPr="001A39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1A39B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4D4F21" w:rsidRPr="0083637E" w:rsidRDefault="004D4F21" w:rsidP="004D4F21">
      <w:pPr>
        <w:numPr>
          <w:ilvl w:val="2"/>
          <w:numId w:val="3"/>
        </w:numPr>
        <w:tabs>
          <w:tab w:val="left" w:pos="1560"/>
          <w:tab w:val="left" w:pos="2552"/>
        </w:tabs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vēlāk kā desmit darba dienu laikā no dienas, kad stājies spēkā iepirkuma līgums, nosūtīt publicēšanai Aizsardzības ministrijas </w:t>
      </w:r>
      <w:proofErr w:type="gramStart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tekstu, ievērojot komercnoslēpuma un personas datu aizsardzības prasības.</w:t>
      </w:r>
    </w:p>
    <w:p w:rsidR="004D4F21" w:rsidRPr="0083637E" w:rsidRDefault="004D4F21" w:rsidP="004D4F21">
      <w:pPr>
        <w:numPr>
          <w:ilvl w:val="1"/>
          <w:numId w:val="3"/>
        </w:numPr>
        <w:spacing w:before="120" w:after="0" w:line="240" w:lineRule="auto"/>
        <w:ind w:left="993" w:right="-7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83637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Komisijas sekretārei </w:t>
      </w:r>
      <w:proofErr w:type="spellStart"/>
      <w:r w:rsidRPr="0083637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M.</w:t>
      </w:r>
      <w:r w:rsidR="0083637E" w:rsidRPr="0083637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Runcei</w:t>
      </w:r>
      <w:proofErr w:type="spellEnd"/>
      <w:r w:rsidRPr="0083637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:</w:t>
      </w:r>
    </w:p>
    <w:p w:rsidR="004D4F21" w:rsidRPr="0083637E" w:rsidRDefault="004D4F21" w:rsidP="004D4F21">
      <w:pPr>
        <w:numPr>
          <w:ilvl w:val="2"/>
          <w:numId w:val="3"/>
        </w:numPr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Publisko iepirkumu likuma 9. panta četrpadsmito daļu trīs darba dienu laikā informēt</w:t>
      </w:r>
      <w:r w:rsidRPr="008363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Pretendentus, kuri iesnieguši piedāvājumus iepirkumā, par pieņemto lēmumu;</w:t>
      </w:r>
    </w:p>
    <w:p w:rsidR="004D4F21" w:rsidRPr="0083637E" w:rsidRDefault="004D4F21" w:rsidP="004D4F21">
      <w:pPr>
        <w:numPr>
          <w:ilvl w:val="2"/>
          <w:numId w:val="3"/>
        </w:numPr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nosūtīt publicēšanai Aizsardzības ministrijas </w:t>
      </w:r>
      <w:proofErr w:type="gramStart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637E"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03.10</w:t>
      </w: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.2018. protokola Nr. VAMOIC 2018/</w:t>
      </w:r>
      <w:r w:rsidR="0083637E"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171</w:t>
      </w:r>
      <w:r w:rsid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-05</w:t>
      </w: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norakstu par pieņemto lēmumu;</w:t>
      </w:r>
    </w:p>
    <w:p w:rsidR="004D4F21" w:rsidRPr="0083637E" w:rsidRDefault="004D4F21" w:rsidP="004D4F21">
      <w:pPr>
        <w:numPr>
          <w:ilvl w:val="2"/>
          <w:numId w:val="3"/>
        </w:numPr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desmit darba dienu laikā pēc līguma noslēgšanas sagatavot publicēšanai informatīvo </w:t>
      </w:r>
      <w:r w:rsidRPr="0083637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paziņojumu par noslēgto līgumu</w:t>
      </w:r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Iepirkumu uzraudzības biroja (turpmāk – IUB) </w:t>
      </w:r>
      <w:proofErr w:type="gramStart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Publisko iepirkumu likuma 9. panta septiņpadsmito daļu. Pēc publicēšanas IUB </w:t>
      </w:r>
      <w:proofErr w:type="gramStart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paziņojumu par noslēgto līgumu nosūtīt publicēšanai Aizsardzības ministrijas mājas lapā.</w:t>
      </w:r>
    </w:p>
    <w:p w:rsidR="004D4F21" w:rsidRPr="0083637E" w:rsidRDefault="004D4F21" w:rsidP="004D4F21">
      <w:pPr>
        <w:numPr>
          <w:ilvl w:val="1"/>
          <w:numId w:val="3"/>
        </w:numPr>
        <w:spacing w:before="120" w:after="0" w:line="240" w:lineRule="auto"/>
        <w:ind w:left="993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Publisko iepirkumu likuma 9. panta divdesmit trešo daļu,</w:t>
      </w:r>
      <w:proofErr w:type="gramEnd"/>
      <w:r w:rsidRPr="008363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Pretendents, kurš iesniedzis piedāvājumu iepirkumā, ir tiesīgs pārsūdzēt komisijas pieņemto lēmumu Administratīvajā rajona tiesā Administratīvā procesa likumā noteiktajā kārtībā mēneša laikā no lēmuma saņemšanas dienas. Lēmuma pārsūdzēšana neaptur tā darbību.</w:t>
      </w:r>
    </w:p>
    <w:p w:rsidR="004D4F21" w:rsidRPr="004D4F21" w:rsidRDefault="004D4F21" w:rsidP="004D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D4F21" w:rsidRPr="004D4F21" w:rsidRDefault="004D4F21" w:rsidP="004D4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D4F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Sēdes beigas: </w:t>
      </w:r>
      <w:r w:rsidRPr="004D4F2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066273">
        <w:rPr>
          <w:rFonts w:ascii="Times New Roman" w:eastAsia="Times New Roman" w:hAnsi="Times New Roman" w:cs="Times New Roman"/>
          <w:sz w:val="24"/>
          <w:szCs w:val="24"/>
          <w:lang w:eastAsia="lv-LV"/>
        </w:rPr>
        <w:t>4:25</w:t>
      </w:r>
    </w:p>
    <w:tbl>
      <w:tblPr>
        <w:tblW w:w="1001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452"/>
        <w:gridCol w:w="2591"/>
      </w:tblGrid>
      <w:tr w:rsidR="00251FA0" w:rsidRPr="00EC6A98" w:rsidTr="00FA67C5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Komisijas priekšsēdētāja:</w:t>
            </w:r>
          </w:p>
        </w:tc>
        <w:tc>
          <w:tcPr>
            <w:tcW w:w="3452" w:type="dxa"/>
            <w:tcBorders>
              <w:top w:val="nil"/>
              <w:left w:val="nil"/>
              <w:right w:val="nil"/>
            </w:tcBorders>
            <w:vAlign w:val="bottom"/>
          </w:tcPr>
          <w:p w:rsidR="00251FA0" w:rsidRPr="00EC6A98" w:rsidRDefault="000E44FA" w:rsidP="00FA67C5">
            <w:pPr>
              <w:pStyle w:val="ListParagraph"/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T.Rupaine</w:t>
            </w:r>
          </w:p>
        </w:tc>
      </w:tr>
      <w:tr w:rsidR="00251FA0" w:rsidRPr="00EC6A98" w:rsidTr="00FA67C5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Komisijas priekšsēdētājas vietnieks:</w:t>
            </w: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1FA0" w:rsidRPr="00EC6A98" w:rsidRDefault="000E44FA" w:rsidP="00FA67C5">
            <w:pPr>
              <w:pStyle w:val="ListParagraph"/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G.Grīnieks</w:t>
            </w:r>
          </w:p>
        </w:tc>
      </w:tr>
      <w:tr w:rsidR="00251FA0" w:rsidRPr="00EC6A98" w:rsidTr="00FA67C5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Komisijas loceklis: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51FA0" w:rsidRPr="00EC6A98" w:rsidRDefault="000E44FA" w:rsidP="00FA67C5">
            <w:pPr>
              <w:pStyle w:val="ListParagraph"/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E.Vilītis</w:t>
            </w:r>
          </w:p>
        </w:tc>
      </w:tr>
      <w:tr w:rsidR="00251FA0" w:rsidRPr="00EC6A98" w:rsidTr="00FA67C5">
        <w:trPr>
          <w:trHeight w:val="56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Komisijas sekretāre: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FA0" w:rsidRPr="00EC6A98" w:rsidRDefault="000E44FA" w:rsidP="00FA67C5">
            <w:pPr>
              <w:pStyle w:val="ListParagraph"/>
              <w:tabs>
                <w:tab w:val="left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A0" w:rsidRPr="00EC6A98" w:rsidRDefault="00251FA0" w:rsidP="00FA67C5">
            <w:pPr>
              <w:pStyle w:val="ListParagraph"/>
              <w:tabs>
                <w:tab w:val="left" w:pos="851"/>
              </w:tabs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M.Runce</w:t>
            </w:r>
          </w:p>
        </w:tc>
      </w:tr>
    </w:tbl>
    <w:p w:rsidR="00D22B6B" w:rsidRDefault="00285772"/>
    <w:p w:rsidR="000E44FA" w:rsidRDefault="000E44FA" w:rsidP="000E44F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0E44FA">
        <w:rPr>
          <w:rFonts w:ascii="Times New Roman" w:hAnsi="Times New Roman" w:cs="Times New Roman"/>
          <w:i/>
          <w:sz w:val="24"/>
        </w:rPr>
        <w:t>NORAKSTS PAREIZS</w:t>
      </w:r>
    </w:p>
    <w:p w:rsidR="000E44FA" w:rsidRPr="003146B9" w:rsidRDefault="000E44FA" w:rsidP="000E44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46B9">
        <w:rPr>
          <w:rFonts w:ascii="Times New Roman" w:hAnsi="Times New Roman" w:cs="Times New Roman"/>
          <w:sz w:val="24"/>
        </w:rPr>
        <w:t xml:space="preserve">Centra Juridiskā un iepirkumu nodrošinājuma departamenta </w:t>
      </w:r>
    </w:p>
    <w:p w:rsidR="000E44FA" w:rsidRPr="003146B9" w:rsidRDefault="000E44FA" w:rsidP="000E44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46B9">
        <w:rPr>
          <w:rFonts w:ascii="Times New Roman" w:hAnsi="Times New Roman" w:cs="Times New Roman"/>
          <w:sz w:val="24"/>
        </w:rPr>
        <w:t>Infrastruktūras līgumu un iepirkumu nodaļas pārvaldes referente</w:t>
      </w:r>
    </w:p>
    <w:p w:rsidR="000E44FA" w:rsidRPr="000E44FA" w:rsidRDefault="000E44FA" w:rsidP="000E4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146B9">
        <w:rPr>
          <w:rFonts w:ascii="Times New Roman" w:hAnsi="Times New Roman" w:cs="Times New Roman"/>
          <w:sz w:val="24"/>
        </w:rPr>
        <w:t>M.Runce</w:t>
      </w:r>
      <w:r w:rsidRPr="000E44F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(personiskais</w:t>
      </w:r>
      <w:r w:rsidRPr="000E44FA">
        <w:rPr>
          <w:rFonts w:ascii="Times New Roman" w:hAnsi="Times New Roman" w:cs="Times New Roman"/>
          <w:i/>
          <w:sz w:val="24"/>
        </w:rPr>
        <w:t xml:space="preserve"> paraksts)</w:t>
      </w:r>
    </w:p>
    <w:p w:rsidR="000E44FA" w:rsidRPr="003146B9" w:rsidRDefault="000E44FA" w:rsidP="000E44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46B9">
        <w:rPr>
          <w:rFonts w:ascii="Times New Roman" w:hAnsi="Times New Roman" w:cs="Times New Roman"/>
          <w:sz w:val="24"/>
        </w:rPr>
        <w:t xml:space="preserve">Rīgā, </w:t>
      </w:r>
      <w:r w:rsidR="00285772">
        <w:rPr>
          <w:rFonts w:ascii="Times New Roman" w:hAnsi="Times New Roman" w:cs="Times New Roman"/>
          <w:sz w:val="24"/>
        </w:rPr>
        <w:t>08.10</w:t>
      </w:r>
      <w:r w:rsidRPr="003146B9">
        <w:rPr>
          <w:rFonts w:ascii="Times New Roman" w:hAnsi="Times New Roman" w:cs="Times New Roman"/>
          <w:sz w:val="24"/>
        </w:rPr>
        <w:t>.20</w:t>
      </w:r>
      <w:bookmarkStart w:id="0" w:name="_GoBack"/>
      <w:bookmarkEnd w:id="0"/>
      <w:r w:rsidRPr="003146B9">
        <w:rPr>
          <w:rFonts w:ascii="Times New Roman" w:hAnsi="Times New Roman" w:cs="Times New Roman"/>
          <w:sz w:val="24"/>
        </w:rPr>
        <w:t>18.</w:t>
      </w:r>
    </w:p>
    <w:sectPr w:rsidR="000E44FA" w:rsidRPr="003146B9" w:rsidSect="000E44FA">
      <w:headerReference w:type="default" r:id="rId7"/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FA" w:rsidRDefault="000E44FA" w:rsidP="000E44FA">
      <w:pPr>
        <w:spacing w:after="0" w:line="240" w:lineRule="auto"/>
      </w:pPr>
      <w:r>
        <w:separator/>
      </w:r>
    </w:p>
  </w:endnote>
  <w:endnote w:type="continuationSeparator" w:id="0">
    <w:p w:rsidR="000E44FA" w:rsidRDefault="000E44FA" w:rsidP="000E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FA" w:rsidRDefault="000E44FA" w:rsidP="000E44FA">
      <w:pPr>
        <w:spacing w:after="0" w:line="240" w:lineRule="auto"/>
      </w:pPr>
      <w:r>
        <w:separator/>
      </w:r>
    </w:p>
  </w:footnote>
  <w:footnote w:type="continuationSeparator" w:id="0">
    <w:p w:rsidR="000E44FA" w:rsidRDefault="000E44FA" w:rsidP="000E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FA" w:rsidRDefault="000E44FA" w:rsidP="000E44FA">
    <w:pPr>
      <w:pStyle w:val="Header"/>
      <w:jc w:val="right"/>
      <w:rPr>
        <w:rFonts w:ascii="Times New Roman" w:hAnsi="Times New Roman" w:cs="Times New Roman"/>
        <w:i/>
        <w:sz w:val="24"/>
      </w:rPr>
    </w:pPr>
  </w:p>
  <w:p w:rsidR="000E44FA" w:rsidRPr="000E44FA" w:rsidRDefault="000E44FA" w:rsidP="000E44FA">
    <w:pPr>
      <w:pStyle w:val="Header"/>
      <w:jc w:val="right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2D0"/>
    <w:multiLevelType w:val="multilevel"/>
    <w:tmpl w:val="F880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374128D"/>
    <w:multiLevelType w:val="multilevel"/>
    <w:tmpl w:val="DEB428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0861E5"/>
    <w:multiLevelType w:val="multilevel"/>
    <w:tmpl w:val="C5946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21"/>
    <w:rsid w:val="00066273"/>
    <w:rsid w:val="000E44FA"/>
    <w:rsid w:val="001A131E"/>
    <w:rsid w:val="001A39B4"/>
    <w:rsid w:val="00251FA0"/>
    <w:rsid w:val="00285772"/>
    <w:rsid w:val="003146B9"/>
    <w:rsid w:val="003A4613"/>
    <w:rsid w:val="004D4F21"/>
    <w:rsid w:val="007C54C6"/>
    <w:rsid w:val="007E41FA"/>
    <w:rsid w:val="008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C568-0E81-46B3-ADD6-E1AC2B2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FA"/>
  </w:style>
  <w:style w:type="paragraph" w:styleId="Footer">
    <w:name w:val="footer"/>
    <w:basedOn w:val="Normal"/>
    <w:link w:val="FooterChar"/>
    <w:uiPriority w:val="99"/>
    <w:unhideWhenUsed/>
    <w:rsid w:val="000E4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Runce</dc:creator>
  <cp:keywords/>
  <dc:description/>
  <cp:lastModifiedBy>Mara Runce</cp:lastModifiedBy>
  <cp:revision>8</cp:revision>
  <cp:lastPrinted>2018-10-02T10:15:00Z</cp:lastPrinted>
  <dcterms:created xsi:type="dcterms:W3CDTF">2018-09-27T10:29:00Z</dcterms:created>
  <dcterms:modified xsi:type="dcterms:W3CDTF">2018-10-08T10:00:00Z</dcterms:modified>
</cp:coreProperties>
</file>