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81" w:rsidRPr="00374CC2" w:rsidRDefault="00DC4181" w:rsidP="00DC4181">
      <w:pPr>
        <w:pStyle w:val="Heading5"/>
      </w:pPr>
      <w:r w:rsidRPr="00374CC2">
        <w:t>IEPIRKUMA</w:t>
      </w:r>
    </w:p>
    <w:p w:rsidR="00DC4181" w:rsidRPr="00067C8E" w:rsidRDefault="00DC4181" w:rsidP="00DC4181">
      <w:pPr>
        <w:jc w:val="center"/>
        <w:rPr>
          <w:bCs/>
          <w:i/>
          <w:sz w:val="28"/>
          <w:szCs w:val="28"/>
        </w:rPr>
      </w:pPr>
      <w:r w:rsidRPr="00985C0E">
        <w:rPr>
          <w:b/>
          <w:sz w:val="28"/>
          <w:szCs w:val="28"/>
        </w:rPr>
        <w:t>“</w:t>
      </w:r>
      <w:r w:rsidRPr="00067C8E">
        <w:rPr>
          <w:b/>
          <w:color w:val="000000"/>
          <w:sz w:val="28"/>
          <w:szCs w:val="28"/>
        </w:rPr>
        <w:t>Tehnoloģiskie agregāti un instrumenti</w:t>
      </w:r>
      <w:r>
        <w:rPr>
          <w:b/>
          <w:color w:val="000000"/>
          <w:sz w:val="28"/>
          <w:szCs w:val="28"/>
        </w:rPr>
        <w:t>”</w:t>
      </w:r>
    </w:p>
    <w:p w:rsidR="00DC4181" w:rsidRPr="003E702C" w:rsidRDefault="00DC4181" w:rsidP="00DC4181">
      <w:pPr>
        <w:jc w:val="center"/>
        <w:rPr>
          <w:bCs/>
          <w:i/>
          <w:sz w:val="28"/>
        </w:rPr>
      </w:pPr>
      <w:r w:rsidRPr="00067C8E">
        <w:rPr>
          <w:bCs/>
          <w:i/>
          <w:sz w:val="28"/>
        </w:rPr>
        <w:t>(identifikācijas Nr.</w:t>
      </w:r>
      <w:r w:rsidR="003E702C">
        <w:rPr>
          <w:bCs/>
          <w:i/>
          <w:sz w:val="28"/>
        </w:rPr>
        <w:t xml:space="preserve"> </w:t>
      </w:r>
      <w:r w:rsidRPr="00067C8E">
        <w:rPr>
          <w:bCs/>
          <w:i/>
          <w:sz w:val="28"/>
        </w:rPr>
        <w:t>AM NBS ZS štābs 2018</w:t>
      </w:r>
      <w:r w:rsidRPr="003E702C">
        <w:rPr>
          <w:bCs/>
          <w:i/>
          <w:sz w:val="28"/>
        </w:rPr>
        <w:t>/1</w:t>
      </w:r>
      <w:r w:rsidR="003E702C" w:rsidRPr="003E702C">
        <w:rPr>
          <w:bCs/>
          <w:i/>
          <w:sz w:val="28"/>
        </w:rPr>
        <w:t>3</w:t>
      </w:r>
      <w:r w:rsidRPr="003E702C">
        <w:rPr>
          <w:bCs/>
          <w:i/>
          <w:sz w:val="28"/>
        </w:rPr>
        <w:t>)</w:t>
      </w:r>
    </w:p>
    <w:p w:rsidR="00DC4181" w:rsidRPr="003E702C" w:rsidRDefault="00DC4181" w:rsidP="00DC4181">
      <w:pPr>
        <w:jc w:val="center"/>
        <w:rPr>
          <w:bCs/>
        </w:rPr>
      </w:pPr>
      <w:r w:rsidRPr="003E702C">
        <w:rPr>
          <w:bCs/>
        </w:rPr>
        <w:t>komisijas sēdes protokols Nr.3</w:t>
      </w:r>
    </w:p>
    <w:p w:rsidR="00DC4181" w:rsidRPr="003E702C" w:rsidRDefault="00DC4181" w:rsidP="00DC4181">
      <w:pPr>
        <w:jc w:val="both"/>
      </w:pPr>
      <w:r w:rsidRPr="003E702C">
        <w:t>Rēzeknē</w:t>
      </w:r>
      <w:r w:rsidRPr="003E702C">
        <w:tab/>
      </w:r>
      <w:r w:rsidRPr="003E702C">
        <w:tab/>
      </w:r>
      <w:r w:rsidRPr="003E702C">
        <w:tab/>
      </w:r>
      <w:r w:rsidRPr="003E702C">
        <w:tab/>
      </w:r>
      <w:r w:rsidRPr="003E702C">
        <w:tab/>
      </w:r>
      <w:r w:rsidRPr="003E702C">
        <w:tab/>
      </w:r>
      <w:r w:rsidRPr="003E702C">
        <w:tab/>
      </w:r>
      <w:r w:rsidRPr="003E702C">
        <w:tab/>
        <w:t xml:space="preserve">    </w:t>
      </w:r>
      <w:r w:rsidRPr="003E702C">
        <w:tab/>
        <w:t xml:space="preserve">    2018.gada </w:t>
      </w:r>
      <w:r w:rsidR="003E702C" w:rsidRPr="003E702C">
        <w:t>1</w:t>
      </w:r>
      <w:r w:rsidR="00AC0A17">
        <w:t>8</w:t>
      </w:r>
      <w:r w:rsidRPr="003E702C">
        <w:t>.jūnijā</w:t>
      </w:r>
    </w:p>
    <w:p w:rsidR="00DC4181" w:rsidRPr="00374CC2" w:rsidRDefault="00DC4181" w:rsidP="00DC4181">
      <w:pPr>
        <w:pStyle w:val="Header"/>
        <w:tabs>
          <w:tab w:val="left" w:pos="720"/>
        </w:tabs>
        <w:jc w:val="both"/>
        <w:rPr>
          <w:rFonts w:ascii="Times New Roman" w:hAnsi="Times New Roman"/>
        </w:rPr>
      </w:pPr>
      <w:r w:rsidRPr="00374CC2">
        <w:rPr>
          <w:rFonts w:ascii="Times New Roman" w:hAnsi="Times New Roman"/>
        </w:rPr>
        <w:t xml:space="preserve"> </w:t>
      </w:r>
    </w:p>
    <w:p w:rsidR="00DC4181" w:rsidRPr="00A60D35" w:rsidRDefault="00DC4181" w:rsidP="00DC4181">
      <w:pPr>
        <w:pStyle w:val="Header"/>
        <w:tabs>
          <w:tab w:val="left" w:pos="720"/>
        </w:tabs>
        <w:jc w:val="both"/>
        <w:rPr>
          <w:rFonts w:ascii="Times New Roman" w:hAnsi="Times New Roman"/>
          <w:szCs w:val="24"/>
        </w:rPr>
      </w:pPr>
      <w:r w:rsidRPr="00374CC2">
        <w:rPr>
          <w:rFonts w:ascii="Times New Roman" w:hAnsi="Times New Roman"/>
        </w:rPr>
        <w:tab/>
      </w:r>
      <w:r w:rsidRPr="00374CC2">
        <w:rPr>
          <w:rFonts w:ascii="Times New Roman" w:hAnsi="Times New Roman"/>
        </w:rPr>
        <w:tab/>
      </w:r>
      <w:r w:rsidRPr="00565F6C">
        <w:rPr>
          <w:rFonts w:ascii="Times New Roman" w:hAnsi="Times New Roman"/>
          <w:szCs w:val="24"/>
        </w:rPr>
        <w:t>Saska</w:t>
      </w:r>
      <w:r>
        <w:rPr>
          <w:rFonts w:ascii="Times New Roman" w:hAnsi="Times New Roman"/>
          <w:szCs w:val="24"/>
        </w:rPr>
        <w:t>ņā ar Zemessardzes komandiera 28</w:t>
      </w:r>
      <w:r w:rsidRPr="00565F6C">
        <w:rPr>
          <w:rFonts w:ascii="Times New Roman" w:hAnsi="Times New Roman"/>
          <w:szCs w:val="24"/>
        </w:rPr>
        <w:t>.0</w:t>
      </w:r>
      <w:r>
        <w:rPr>
          <w:rFonts w:ascii="Times New Roman" w:hAnsi="Times New Roman"/>
          <w:szCs w:val="24"/>
        </w:rPr>
        <w:t>2.2018</w:t>
      </w:r>
      <w:r w:rsidRPr="00565F6C">
        <w:rPr>
          <w:rFonts w:ascii="Times New Roman" w:hAnsi="Times New Roman"/>
          <w:szCs w:val="24"/>
        </w:rPr>
        <w:t>. pavēli Nr.1</w:t>
      </w:r>
      <w:r>
        <w:rPr>
          <w:rFonts w:ascii="Times New Roman" w:hAnsi="Times New Roman"/>
          <w:szCs w:val="24"/>
        </w:rPr>
        <w:t>76</w:t>
      </w:r>
      <w:r w:rsidRPr="00565F6C">
        <w:rPr>
          <w:rFonts w:ascii="Times New Roman" w:hAnsi="Times New Roman"/>
          <w:szCs w:val="24"/>
        </w:rPr>
        <w:t xml:space="preserve"> „Par decentralizēto iepirkumu komisiju izveidi un iepirkuma atbildīgo amatpersonas norīkošanu” komisijas sastāvā:</w:t>
      </w:r>
    </w:p>
    <w:p w:rsidR="00DC4181" w:rsidRPr="00A60D35" w:rsidRDefault="00DC4181" w:rsidP="00DC4181">
      <w:pPr>
        <w:pStyle w:val="Header"/>
        <w:tabs>
          <w:tab w:val="left" w:pos="720"/>
        </w:tabs>
        <w:jc w:val="both"/>
        <w:rPr>
          <w:rFonts w:ascii="Times New Roman" w:hAnsi="Times New Roman"/>
          <w:sz w:val="16"/>
          <w:szCs w:val="16"/>
        </w:rPr>
      </w:pPr>
    </w:p>
    <w:p w:rsidR="00DC4181" w:rsidRDefault="00DC4181" w:rsidP="00DC4181">
      <w:pPr>
        <w:pStyle w:val="Header"/>
      </w:pPr>
      <w:r w:rsidRPr="00C82D3C">
        <w:t xml:space="preserve">komisijas priekšsēdētājs: majors E.ZELENOVS; </w:t>
      </w:r>
    </w:p>
    <w:p w:rsidR="00DC4181" w:rsidRPr="003E702C" w:rsidRDefault="00DC4181" w:rsidP="00DC4181">
      <w:pPr>
        <w:pStyle w:val="Header"/>
      </w:pPr>
      <w:r>
        <w:t xml:space="preserve">komisijas locekļi: </w:t>
      </w:r>
      <w:r w:rsidRPr="003E702C">
        <w:t>kapteinis V.PAUKŠTE;</w:t>
      </w:r>
    </w:p>
    <w:p w:rsidR="00DC4181" w:rsidRPr="00CB1C5A" w:rsidRDefault="00DC4181" w:rsidP="00DC4181">
      <w:pPr>
        <w:pStyle w:val="Header"/>
        <w:tabs>
          <w:tab w:val="left" w:pos="720"/>
        </w:tabs>
      </w:pPr>
      <w:r w:rsidRPr="003E702C">
        <w:tab/>
      </w:r>
      <w:r w:rsidRPr="00CB1C5A">
        <w:t xml:space="preserve">                 kapteine K.VAVILOVA;</w:t>
      </w:r>
    </w:p>
    <w:p w:rsidR="00DC4181" w:rsidRPr="00CB1C5A" w:rsidRDefault="00DC4181" w:rsidP="00DC4181">
      <w:pPr>
        <w:pStyle w:val="Header"/>
        <w:tabs>
          <w:tab w:val="left" w:pos="720"/>
        </w:tabs>
      </w:pPr>
      <w:r w:rsidRPr="00CB1C5A">
        <w:tab/>
        <w:t xml:space="preserve">                 seržants J.VERPELS</w:t>
      </w:r>
    </w:p>
    <w:p w:rsidR="00DC4181" w:rsidRPr="00CB1C5A" w:rsidRDefault="00DC4181" w:rsidP="00DC4181">
      <w:pPr>
        <w:pStyle w:val="Header"/>
        <w:tabs>
          <w:tab w:val="left" w:pos="720"/>
        </w:tabs>
        <w:jc w:val="both"/>
        <w:rPr>
          <w:rFonts w:ascii="Times New Roman" w:hAnsi="Times New Roman"/>
          <w:sz w:val="16"/>
          <w:szCs w:val="16"/>
        </w:rPr>
      </w:pPr>
    </w:p>
    <w:p w:rsidR="00DC4181" w:rsidRPr="00CB1C5A" w:rsidRDefault="00DC4181" w:rsidP="00DC4181">
      <w:pPr>
        <w:pStyle w:val="Header"/>
        <w:tabs>
          <w:tab w:val="left" w:pos="720"/>
        </w:tabs>
        <w:jc w:val="both"/>
        <w:rPr>
          <w:rFonts w:ascii="Times New Roman" w:hAnsi="Times New Roman"/>
          <w:b/>
          <w:szCs w:val="24"/>
        </w:rPr>
      </w:pPr>
      <w:r w:rsidRPr="00CB1C5A">
        <w:rPr>
          <w:rFonts w:ascii="Times New Roman" w:hAnsi="Times New Roman"/>
          <w:b/>
          <w:szCs w:val="24"/>
        </w:rPr>
        <w:t>Komisijas sēdi vada</w:t>
      </w:r>
      <w:r w:rsidRPr="00CB1C5A">
        <w:rPr>
          <w:rFonts w:ascii="Times New Roman" w:hAnsi="Times New Roman"/>
          <w:szCs w:val="24"/>
        </w:rPr>
        <w:t xml:space="preserve">: </w:t>
      </w:r>
      <w:r w:rsidRPr="00CB1C5A">
        <w:rPr>
          <w:rFonts w:ascii="Times New Roman" w:hAnsi="Times New Roman"/>
        </w:rPr>
        <w:t>E.ZELENOVS</w:t>
      </w:r>
    </w:p>
    <w:p w:rsidR="00DC4181" w:rsidRPr="00CB1C5A" w:rsidRDefault="00DC4181" w:rsidP="00DC4181">
      <w:pPr>
        <w:pStyle w:val="BodyTextIndent"/>
        <w:tabs>
          <w:tab w:val="left" w:pos="-1260"/>
          <w:tab w:val="left" w:pos="-561"/>
        </w:tabs>
        <w:ind w:left="0" w:firstLine="0"/>
      </w:pPr>
      <w:r w:rsidRPr="00CB1C5A">
        <w:rPr>
          <w:b/>
        </w:rPr>
        <w:t>Piedalās:</w:t>
      </w:r>
      <w:r w:rsidRPr="00CB1C5A">
        <w:t xml:space="preserve"> K.VAVILOVA, V.PAUKŠTE, J.VERPELS</w:t>
      </w:r>
    </w:p>
    <w:p w:rsidR="00DC4181" w:rsidRPr="00CB1C5A" w:rsidRDefault="00DC4181" w:rsidP="00DC4181">
      <w:pPr>
        <w:pStyle w:val="Header"/>
        <w:tabs>
          <w:tab w:val="left" w:pos="720"/>
        </w:tabs>
        <w:jc w:val="both"/>
        <w:rPr>
          <w:rFonts w:ascii="Times New Roman" w:hAnsi="Times New Roman"/>
          <w:szCs w:val="24"/>
        </w:rPr>
      </w:pPr>
      <w:r w:rsidRPr="00CB1C5A">
        <w:rPr>
          <w:rFonts w:ascii="Times New Roman" w:hAnsi="Times New Roman"/>
          <w:szCs w:val="24"/>
        </w:rPr>
        <w:t xml:space="preserve">Protokolē: </w:t>
      </w:r>
      <w:r w:rsidR="003E702C" w:rsidRPr="00CB1C5A">
        <w:rPr>
          <w:rFonts w:ascii="Times New Roman" w:hAnsi="Times New Roman"/>
          <w:szCs w:val="24"/>
        </w:rPr>
        <w:t>G.LOČMELE</w:t>
      </w:r>
    </w:p>
    <w:p w:rsidR="00DC4181" w:rsidRPr="00CB1C5A" w:rsidRDefault="00DC4181" w:rsidP="00DC4181">
      <w:pPr>
        <w:pStyle w:val="Header"/>
        <w:tabs>
          <w:tab w:val="left" w:pos="720"/>
        </w:tabs>
        <w:jc w:val="both"/>
        <w:rPr>
          <w:szCs w:val="24"/>
        </w:rPr>
      </w:pPr>
    </w:p>
    <w:p w:rsidR="00DC4181" w:rsidRPr="00CB1C5A" w:rsidRDefault="00DC4181" w:rsidP="00DC4181">
      <w:pPr>
        <w:pStyle w:val="Header"/>
        <w:tabs>
          <w:tab w:val="left" w:pos="720"/>
        </w:tabs>
        <w:jc w:val="both"/>
        <w:rPr>
          <w:bCs/>
          <w:szCs w:val="24"/>
        </w:rPr>
      </w:pPr>
      <w:r w:rsidRPr="00CB1C5A">
        <w:rPr>
          <w:szCs w:val="24"/>
        </w:rPr>
        <w:t>Darba kārtība:</w:t>
      </w:r>
      <w:r w:rsidRPr="00CB1C5A">
        <w:rPr>
          <w:bCs/>
          <w:szCs w:val="24"/>
        </w:rPr>
        <w:t xml:space="preserve"> </w:t>
      </w:r>
    </w:p>
    <w:p w:rsidR="00DC4181" w:rsidRPr="00CB1C5A" w:rsidRDefault="00DC4181" w:rsidP="00DC4181">
      <w:pPr>
        <w:jc w:val="both"/>
        <w:rPr>
          <w:bCs/>
          <w:i/>
        </w:rPr>
      </w:pPr>
      <w:r w:rsidRPr="00CB1C5A">
        <w:rPr>
          <w:bCs/>
        </w:rPr>
        <w:t xml:space="preserve">Iepirkuma </w:t>
      </w:r>
      <w:r w:rsidRPr="00CB1C5A">
        <w:t xml:space="preserve">“Tehnoloģiskie agregāti un instrumenti” </w:t>
      </w:r>
      <w:r w:rsidRPr="00CB1C5A">
        <w:rPr>
          <w:bCs/>
          <w:i/>
        </w:rPr>
        <w:t>identifikācijas Nr.</w:t>
      </w:r>
      <w:r w:rsidR="003E702C" w:rsidRPr="00CB1C5A">
        <w:rPr>
          <w:bCs/>
          <w:i/>
        </w:rPr>
        <w:t xml:space="preserve"> </w:t>
      </w:r>
      <w:r w:rsidRPr="00CB1C5A">
        <w:rPr>
          <w:bCs/>
          <w:i/>
        </w:rPr>
        <w:t>AM NBS ZS štābs 2018/1</w:t>
      </w:r>
      <w:r w:rsidR="003E702C" w:rsidRPr="00CB1C5A">
        <w:rPr>
          <w:bCs/>
          <w:i/>
        </w:rPr>
        <w:t>3</w:t>
      </w:r>
      <w:r w:rsidRPr="00CB1C5A">
        <w:rPr>
          <w:bCs/>
        </w:rPr>
        <w:t>:</w:t>
      </w:r>
    </w:p>
    <w:p w:rsidR="00DC4181" w:rsidRPr="00CB1C5A" w:rsidRDefault="00DC4181" w:rsidP="00DC4181">
      <w:pPr>
        <w:pStyle w:val="Header"/>
        <w:numPr>
          <w:ilvl w:val="0"/>
          <w:numId w:val="1"/>
        </w:numPr>
        <w:tabs>
          <w:tab w:val="left" w:pos="720"/>
        </w:tabs>
        <w:jc w:val="both"/>
        <w:rPr>
          <w:rFonts w:ascii="Times New Roman" w:hAnsi="Times New Roman"/>
          <w:bCs/>
          <w:szCs w:val="24"/>
        </w:rPr>
      </w:pPr>
      <w:r w:rsidRPr="00CB1C5A">
        <w:rPr>
          <w:rFonts w:ascii="Times New Roman" w:hAnsi="Times New Roman"/>
          <w:bCs/>
          <w:szCs w:val="24"/>
        </w:rPr>
        <w:t>pretendentu atlases dokumentu izvērtēšana;</w:t>
      </w:r>
    </w:p>
    <w:p w:rsidR="00DC4181" w:rsidRPr="00CB1C5A" w:rsidRDefault="00DC4181" w:rsidP="00DC4181">
      <w:pPr>
        <w:pStyle w:val="Header"/>
        <w:numPr>
          <w:ilvl w:val="0"/>
          <w:numId w:val="1"/>
        </w:numPr>
        <w:tabs>
          <w:tab w:val="left" w:pos="720"/>
        </w:tabs>
        <w:jc w:val="both"/>
        <w:rPr>
          <w:rFonts w:ascii="Times New Roman" w:hAnsi="Times New Roman"/>
          <w:bCs/>
          <w:szCs w:val="24"/>
        </w:rPr>
      </w:pPr>
      <w:r w:rsidRPr="00CB1C5A">
        <w:rPr>
          <w:rFonts w:ascii="Times New Roman" w:hAnsi="Times New Roman"/>
          <w:bCs/>
          <w:szCs w:val="24"/>
        </w:rPr>
        <w:t>pretendentu tehnisko piedāvājumu izvērtēšana;</w:t>
      </w:r>
    </w:p>
    <w:p w:rsidR="00DC4181" w:rsidRPr="00CB1C5A" w:rsidRDefault="00DC4181" w:rsidP="00DC4181">
      <w:pPr>
        <w:pStyle w:val="Header"/>
        <w:numPr>
          <w:ilvl w:val="0"/>
          <w:numId w:val="1"/>
        </w:numPr>
        <w:tabs>
          <w:tab w:val="left" w:pos="720"/>
        </w:tabs>
        <w:jc w:val="both"/>
        <w:rPr>
          <w:rFonts w:ascii="Times New Roman" w:hAnsi="Times New Roman"/>
          <w:bCs/>
          <w:szCs w:val="24"/>
        </w:rPr>
      </w:pPr>
      <w:r w:rsidRPr="00CB1C5A">
        <w:rPr>
          <w:rFonts w:ascii="Times New Roman" w:hAnsi="Times New Roman"/>
          <w:bCs/>
          <w:szCs w:val="24"/>
        </w:rPr>
        <w:t>pretendentu piedāvāto cenu izvērtēšana;</w:t>
      </w:r>
    </w:p>
    <w:p w:rsidR="00DC4181" w:rsidRPr="00CB1C5A" w:rsidRDefault="00DC4181" w:rsidP="00DC4181">
      <w:pPr>
        <w:pStyle w:val="Header"/>
        <w:numPr>
          <w:ilvl w:val="0"/>
          <w:numId w:val="1"/>
        </w:numPr>
        <w:tabs>
          <w:tab w:val="left" w:pos="720"/>
        </w:tabs>
        <w:jc w:val="both"/>
        <w:rPr>
          <w:rFonts w:ascii="Times New Roman" w:hAnsi="Times New Roman"/>
          <w:bCs/>
          <w:szCs w:val="24"/>
        </w:rPr>
      </w:pPr>
      <w:r w:rsidRPr="00CB1C5A">
        <w:rPr>
          <w:rFonts w:ascii="Times New Roman" w:hAnsi="Times New Roman"/>
          <w:bCs/>
          <w:szCs w:val="24"/>
        </w:rPr>
        <w:t>preces piegādes termiņu izskatīšana;</w:t>
      </w:r>
    </w:p>
    <w:p w:rsidR="00DC4181" w:rsidRPr="00CB1C5A" w:rsidRDefault="00DC4181" w:rsidP="00DC4181">
      <w:pPr>
        <w:pStyle w:val="Header"/>
        <w:numPr>
          <w:ilvl w:val="0"/>
          <w:numId w:val="1"/>
        </w:numPr>
        <w:tabs>
          <w:tab w:val="left" w:pos="720"/>
        </w:tabs>
        <w:jc w:val="both"/>
        <w:rPr>
          <w:rFonts w:ascii="Times New Roman" w:hAnsi="Times New Roman"/>
          <w:bCs/>
          <w:szCs w:val="24"/>
        </w:rPr>
      </w:pPr>
      <w:r w:rsidRPr="00CB1C5A">
        <w:rPr>
          <w:rFonts w:ascii="Times New Roman" w:hAnsi="Times New Roman"/>
          <w:bCs/>
          <w:szCs w:val="24"/>
        </w:rPr>
        <w:t>nekvalitatīvas preces apmaiņas pret jaunu termiņu izskatīšana;</w:t>
      </w:r>
    </w:p>
    <w:p w:rsidR="00DC4181" w:rsidRPr="00CB1C5A" w:rsidRDefault="00DC4181" w:rsidP="00DC4181">
      <w:pPr>
        <w:pStyle w:val="Header"/>
        <w:numPr>
          <w:ilvl w:val="0"/>
          <w:numId w:val="1"/>
        </w:numPr>
        <w:tabs>
          <w:tab w:val="left" w:pos="720"/>
        </w:tabs>
        <w:jc w:val="both"/>
        <w:rPr>
          <w:rFonts w:ascii="Times New Roman" w:hAnsi="Times New Roman"/>
          <w:bCs/>
          <w:szCs w:val="24"/>
        </w:rPr>
      </w:pPr>
      <w:r w:rsidRPr="00CB1C5A">
        <w:rPr>
          <w:rFonts w:ascii="Times New Roman" w:hAnsi="Times New Roman"/>
          <w:bCs/>
          <w:szCs w:val="24"/>
        </w:rPr>
        <w:t>līguma tiesību piešķiršana.</w:t>
      </w:r>
    </w:p>
    <w:p w:rsidR="00DC4181" w:rsidRPr="00CB1C5A" w:rsidRDefault="00DC4181" w:rsidP="00DC4181">
      <w:pPr>
        <w:pStyle w:val="Header"/>
        <w:tabs>
          <w:tab w:val="left" w:pos="720"/>
        </w:tabs>
        <w:jc w:val="both"/>
        <w:rPr>
          <w:rFonts w:ascii="Times New Roman" w:hAnsi="Times New Roman"/>
          <w:bCs/>
          <w:szCs w:val="24"/>
        </w:rPr>
      </w:pPr>
    </w:p>
    <w:p w:rsidR="00DC4181" w:rsidRPr="00CB1C5A" w:rsidRDefault="00DC4181" w:rsidP="00DC4181">
      <w:pPr>
        <w:pStyle w:val="Header"/>
        <w:tabs>
          <w:tab w:val="left" w:pos="720"/>
        </w:tabs>
        <w:jc w:val="both"/>
        <w:rPr>
          <w:rFonts w:ascii="Times New Roman" w:hAnsi="Times New Roman"/>
          <w:szCs w:val="24"/>
        </w:rPr>
      </w:pPr>
      <w:r w:rsidRPr="00CB1C5A">
        <w:rPr>
          <w:rFonts w:ascii="Times New Roman" w:hAnsi="Times New Roman"/>
          <w:b/>
          <w:szCs w:val="24"/>
        </w:rPr>
        <w:t>Sēdes sākums:</w:t>
      </w:r>
      <w:r w:rsidRPr="00CB1C5A">
        <w:rPr>
          <w:rFonts w:ascii="Times New Roman" w:hAnsi="Times New Roman"/>
          <w:szCs w:val="24"/>
        </w:rPr>
        <w:t xml:space="preserve"> plkst. 1</w:t>
      </w:r>
      <w:r w:rsidR="00AC0A17" w:rsidRPr="00CB1C5A">
        <w:rPr>
          <w:rFonts w:ascii="Times New Roman" w:hAnsi="Times New Roman"/>
          <w:szCs w:val="24"/>
        </w:rPr>
        <w:t>0</w:t>
      </w:r>
      <w:r w:rsidR="00AC0A17" w:rsidRPr="00CB1C5A">
        <w:rPr>
          <w:rFonts w:ascii="Times New Roman" w:hAnsi="Times New Roman"/>
          <w:szCs w:val="24"/>
          <w:vertAlign w:val="superscript"/>
        </w:rPr>
        <w:t>45</w:t>
      </w:r>
    </w:p>
    <w:p w:rsidR="00DC4181" w:rsidRPr="00CB1C5A" w:rsidRDefault="00DC4181" w:rsidP="00DC4181">
      <w:pPr>
        <w:pStyle w:val="Header"/>
        <w:tabs>
          <w:tab w:val="left" w:pos="720"/>
        </w:tabs>
        <w:jc w:val="both"/>
        <w:rPr>
          <w:rFonts w:ascii="Times New Roman" w:hAnsi="Times New Roman"/>
          <w:b/>
          <w:szCs w:val="24"/>
        </w:rPr>
      </w:pPr>
      <w:r w:rsidRPr="00CB1C5A">
        <w:rPr>
          <w:rFonts w:ascii="Times New Roman" w:hAnsi="Times New Roman"/>
          <w:b/>
          <w:szCs w:val="24"/>
        </w:rPr>
        <w:t>Sēdes gaita:</w:t>
      </w:r>
    </w:p>
    <w:p w:rsidR="00EF414E" w:rsidRDefault="00DC4181" w:rsidP="00AC0A17">
      <w:pPr>
        <w:spacing w:after="120"/>
        <w:jc w:val="both"/>
      </w:pPr>
      <w:r w:rsidRPr="00CB1C5A">
        <w:t xml:space="preserve">majors E.ZELENOVS informē komisijas locekļus, ka saņemti </w:t>
      </w:r>
      <w:r w:rsidR="00AC0A17" w:rsidRPr="00CB1C5A">
        <w:t>2</w:t>
      </w:r>
      <w:r w:rsidRPr="00CB1C5A">
        <w:t xml:space="preserve"> (</w:t>
      </w:r>
      <w:r w:rsidR="00AC0A17" w:rsidRPr="00CB1C5A">
        <w:t>divi</w:t>
      </w:r>
      <w:r w:rsidRPr="00CB1C5A">
        <w:t xml:space="preserve">) piedāvājumi: SIA "PROOFTOOLS", </w:t>
      </w:r>
      <w:r w:rsidR="00EF414E">
        <w:t xml:space="preserve"> </w:t>
      </w:r>
      <w:r w:rsidRPr="00CB1C5A">
        <w:t xml:space="preserve">SIA </w:t>
      </w:r>
      <w:r w:rsidR="00AC0A17" w:rsidRPr="00CB1C5A">
        <w:t>"SENTIOS"</w:t>
      </w:r>
    </w:p>
    <w:p w:rsidR="00DC4181" w:rsidRPr="00CB1C5A" w:rsidRDefault="00DC4181" w:rsidP="00EF414E">
      <w:pPr>
        <w:pStyle w:val="ListParagraph"/>
        <w:numPr>
          <w:ilvl w:val="0"/>
          <w:numId w:val="2"/>
        </w:numPr>
        <w:spacing w:after="120"/>
        <w:jc w:val="both"/>
      </w:pPr>
      <w:r w:rsidRPr="00CB1C5A">
        <w:t xml:space="preserve"> </w:t>
      </w:r>
      <w:r w:rsidRPr="00EF414E">
        <w:rPr>
          <w:bCs/>
        </w:rPr>
        <w:t xml:space="preserve">Iepirkuma </w:t>
      </w:r>
      <w:r w:rsidRPr="00CB1C5A">
        <w:t xml:space="preserve">“Tehnoloģiskie agregāti un instrumenti” </w:t>
      </w:r>
      <w:r w:rsidRPr="00EF414E">
        <w:rPr>
          <w:bCs/>
          <w:i/>
        </w:rPr>
        <w:t>identifikācijas Nr. AM NBS ZS štābs 2018/1</w:t>
      </w:r>
      <w:r w:rsidR="003E702C" w:rsidRPr="00EF414E">
        <w:rPr>
          <w:bCs/>
          <w:i/>
        </w:rPr>
        <w:t>3</w:t>
      </w:r>
      <w:r w:rsidRPr="00EF414E">
        <w:rPr>
          <w:bCs/>
          <w:i/>
        </w:rPr>
        <w:t xml:space="preserve"> </w:t>
      </w:r>
      <w:r w:rsidRPr="00CB1C5A">
        <w:t>pretendentu atlases izvērtēšana:</w:t>
      </w:r>
    </w:p>
    <w:p w:rsidR="00DC4181" w:rsidRPr="00CB1C5A" w:rsidRDefault="00DC4181" w:rsidP="00DC4181">
      <w:pPr>
        <w:pStyle w:val="BodyText"/>
        <w:numPr>
          <w:ilvl w:val="1"/>
          <w:numId w:val="2"/>
        </w:numPr>
        <w:spacing w:after="0"/>
        <w:jc w:val="both"/>
      </w:pPr>
      <w:r w:rsidRPr="00CB1C5A">
        <w:t xml:space="preserve">Katrs komisijas loceklis izvērtē pretendentu iesniegtos piedāvājumus un paraksta pretendentu atlases izvērtējuma tabulu (skat. 1.pielikumu). </w:t>
      </w:r>
    </w:p>
    <w:p w:rsidR="00DC4181" w:rsidRPr="00CB1C5A" w:rsidRDefault="00DC4181" w:rsidP="00DC4181">
      <w:pPr>
        <w:numPr>
          <w:ilvl w:val="1"/>
          <w:numId w:val="2"/>
        </w:numPr>
        <w:tabs>
          <w:tab w:val="left" w:pos="360"/>
        </w:tabs>
        <w:spacing w:after="120"/>
        <w:jc w:val="both"/>
      </w:pPr>
      <w:r w:rsidRPr="00CB1C5A">
        <w:t>Komisija konstatē: SIA "PROOFTOOLS</w:t>
      </w:r>
      <w:r w:rsidR="00AC0A17" w:rsidRPr="00CB1C5A">
        <w:t xml:space="preserve">", SIA "SENTIOS" </w:t>
      </w:r>
      <w:r w:rsidRPr="00CB1C5A">
        <w:t>iesniegtie dokumenti atbilst iepirkuma nolikumā noteiktajām prasībām.</w:t>
      </w:r>
    </w:p>
    <w:p w:rsidR="00DC4181" w:rsidRPr="00CB1C5A" w:rsidRDefault="00DC4181" w:rsidP="00DC4181">
      <w:pPr>
        <w:pStyle w:val="BodyText"/>
        <w:numPr>
          <w:ilvl w:val="0"/>
          <w:numId w:val="2"/>
        </w:numPr>
        <w:jc w:val="both"/>
      </w:pPr>
      <w:r w:rsidRPr="00CB1C5A">
        <w:rPr>
          <w:bCs/>
        </w:rPr>
        <w:t xml:space="preserve">Iepirkuma </w:t>
      </w:r>
      <w:r w:rsidRPr="00CB1C5A">
        <w:t xml:space="preserve">“Tehnoloģiskie agregāti un instrumenti” </w:t>
      </w:r>
      <w:r w:rsidRPr="00CB1C5A">
        <w:rPr>
          <w:bCs/>
          <w:i/>
        </w:rPr>
        <w:t>identifikācijas Nr. AM NBS ZS štābs 2018/1</w:t>
      </w:r>
      <w:r w:rsidR="003E702C" w:rsidRPr="00CB1C5A">
        <w:rPr>
          <w:bCs/>
          <w:i/>
        </w:rPr>
        <w:t>3</w:t>
      </w:r>
      <w:r w:rsidRPr="00CB1C5A">
        <w:rPr>
          <w:bCs/>
          <w:i/>
        </w:rPr>
        <w:t xml:space="preserve"> </w:t>
      </w:r>
      <w:r w:rsidRPr="00CB1C5A">
        <w:t>pretendentu tehniskā piedāvājuma atbilstības izvērtēšana:</w:t>
      </w:r>
    </w:p>
    <w:p w:rsidR="00DC4181" w:rsidRPr="00CB1C5A" w:rsidRDefault="00DC4181" w:rsidP="00DC4181">
      <w:pPr>
        <w:numPr>
          <w:ilvl w:val="1"/>
          <w:numId w:val="2"/>
        </w:numPr>
        <w:jc w:val="both"/>
      </w:pPr>
      <w:r w:rsidRPr="00CB1C5A">
        <w:t xml:space="preserve">Katrs komisijas loceklis izvērtē pretendentu tehniskā piedāvājuma atbilstību ZS štāba tehniskās specifikācijas nosacījumiem un paraksta tehnisko piedāvājumu atbilstības vērtēšanas tabulu (skat. 2.pielikumu). </w:t>
      </w:r>
    </w:p>
    <w:p w:rsidR="00DC4181" w:rsidRPr="00CB1C5A" w:rsidRDefault="00DC4181" w:rsidP="00DC4181">
      <w:pPr>
        <w:numPr>
          <w:ilvl w:val="1"/>
          <w:numId w:val="2"/>
        </w:numPr>
        <w:tabs>
          <w:tab w:val="left" w:pos="540"/>
        </w:tabs>
        <w:spacing w:after="120"/>
        <w:jc w:val="both"/>
      </w:pPr>
      <w:r w:rsidRPr="00CB1C5A">
        <w:t xml:space="preserve">Komisija konstatē, </w:t>
      </w:r>
      <w:r w:rsidRPr="00CB1C5A">
        <w:rPr>
          <w:bCs/>
        </w:rPr>
        <w:t xml:space="preserve">ka </w:t>
      </w:r>
      <w:r w:rsidRPr="00CB1C5A">
        <w:t>SIA "PROOFTOOLS"</w:t>
      </w:r>
      <w:r w:rsidR="00AC0A17" w:rsidRPr="00CB1C5A">
        <w:t xml:space="preserve">, </w:t>
      </w:r>
      <w:r w:rsidR="00EF414E">
        <w:t>"</w:t>
      </w:r>
      <w:r w:rsidR="00AC0A17" w:rsidRPr="00CB1C5A">
        <w:t>SIA "SENTIOS"</w:t>
      </w:r>
      <w:r w:rsidRPr="00CB1C5A">
        <w:t>, piedāvājumi atbilst ZS štāba tehnisko specifikāciju prasībām.</w:t>
      </w:r>
    </w:p>
    <w:p w:rsidR="00DC4181" w:rsidRPr="00CB1C5A" w:rsidRDefault="00DC4181" w:rsidP="00DC4181">
      <w:pPr>
        <w:pStyle w:val="BodyText"/>
        <w:numPr>
          <w:ilvl w:val="0"/>
          <w:numId w:val="2"/>
        </w:numPr>
        <w:spacing w:after="0"/>
        <w:jc w:val="both"/>
      </w:pPr>
      <w:r w:rsidRPr="00CB1C5A">
        <w:rPr>
          <w:bCs/>
        </w:rPr>
        <w:t xml:space="preserve">Iepirkuma </w:t>
      </w:r>
      <w:r w:rsidRPr="00CB1C5A">
        <w:t xml:space="preserve">“Tehnoloģiskie agregāti un instrumenti” </w:t>
      </w:r>
      <w:r w:rsidRPr="00CB1C5A">
        <w:rPr>
          <w:bCs/>
          <w:i/>
        </w:rPr>
        <w:t>identifikācijas Nr. AM NBS ZS štābs 2018/1</w:t>
      </w:r>
      <w:r w:rsidR="003E702C" w:rsidRPr="00CB1C5A">
        <w:rPr>
          <w:bCs/>
          <w:i/>
        </w:rPr>
        <w:t>3</w:t>
      </w:r>
      <w:r w:rsidRPr="00CB1C5A">
        <w:rPr>
          <w:bCs/>
          <w:i/>
        </w:rPr>
        <w:t xml:space="preserve"> </w:t>
      </w:r>
      <w:r w:rsidRPr="00CB1C5A">
        <w:t>pretendenta piedāvāto cenu un saimnieciskā izdevīguma izvērtēšana (skat. 3.pielikumu).</w:t>
      </w:r>
    </w:p>
    <w:p w:rsidR="00DC4181" w:rsidRPr="00CB1C5A" w:rsidRDefault="00DC4181" w:rsidP="00DC4181">
      <w:pPr>
        <w:pStyle w:val="BodyText"/>
        <w:numPr>
          <w:ilvl w:val="1"/>
          <w:numId w:val="2"/>
        </w:numPr>
        <w:spacing w:after="0"/>
        <w:jc w:val="both"/>
      </w:pPr>
      <w:r w:rsidRPr="00CB1C5A">
        <w:t>Komisija konstatē, ka SIA "PROOFTOOLS</w:t>
      </w:r>
      <w:r w:rsidR="00AC0A17" w:rsidRPr="00CB1C5A">
        <w:t>”</w:t>
      </w:r>
      <w:r w:rsidRPr="00CB1C5A">
        <w:t xml:space="preserve"> piedāvātā kopējā cena </w:t>
      </w:r>
      <w:r w:rsidRPr="00CB1C5A">
        <w:rPr>
          <w:b/>
        </w:rPr>
        <w:t xml:space="preserve">EUR </w:t>
      </w:r>
      <w:r w:rsidR="00AC0A17" w:rsidRPr="00CB1C5A">
        <w:rPr>
          <w:b/>
        </w:rPr>
        <w:t>3271.83</w:t>
      </w:r>
      <w:r w:rsidRPr="00CB1C5A">
        <w:rPr>
          <w:b/>
        </w:rPr>
        <w:t xml:space="preserve"> </w:t>
      </w:r>
      <w:r w:rsidRPr="00CB1C5A">
        <w:t>bez PVN;</w:t>
      </w:r>
    </w:p>
    <w:p w:rsidR="00AC0A17" w:rsidRPr="00CB1C5A" w:rsidRDefault="00AC0A17" w:rsidP="00DC4181">
      <w:pPr>
        <w:pStyle w:val="BodyText"/>
        <w:numPr>
          <w:ilvl w:val="1"/>
          <w:numId w:val="2"/>
        </w:numPr>
        <w:spacing w:after="0"/>
        <w:jc w:val="both"/>
      </w:pPr>
      <w:r w:rsidRPr="00CB1C5A">
        <w:t xml:space="preserve">Komisija konstatē, ka SIA "SENTIOS" piedāvātā kopējā cena </w:t>
      </w:r>
      <w:r w:rsidRPr="00CB1C5A">
        <w:rPr>
          <w:b/>
        </w:rPr>
        <w:t xml:space="preserve">EUR 7381.00 </w:t>
      </w:r>
      <w:r w:rsidRPr="00CB1C5A">
        <w:t>bez PVN</w:t>
      </w:r>
    </w:p>
    <w:p w:rsidR="00DC4181" w:rsidRPr="00CB1C5A" w:rsidRDefault="00DC4181" w:rsidP="00DC4181">
      <w:pPr>
        <w:ind w:left="1134"/>
        <w:jc w:val="both"/>
      </w:pPr>
    </w:p>
    <w:p w:rsidR="00DC4181" w:rsidRPr="00CB1C5A" w:rsidRDefault="00DC4181" w:rsidP="00DC4181">
      <w:pPr>
        <w:numPr>
          <w:ilvl w:val="1"/>
          <w:numId w:val="2"/>
        </w:numPr>
        <w:jc w:val="both"/>
      </w:pPr>
      <w:r w:rsidRPr="00CB1C5A">
        <w:lastRenderedPageBreak/>
        <w:t xml:space="preserve">Katrs komisijas loceklis izvērtē pretendenta finansiālo piedāvājumu, piegādes termiņus, nekvalitatīvas preces apmaiņas termiņus un paraksta piedāvāto cenu, piegādes un nekvalitatīvas preces apmaiņas termiņu izvērtējuma kopējo tabulu (skat. 3.pielikumu). </w:t>
      </w:r>
    </w:p>
    <w:p w:rsidR="00DC4181" w:rsidRPr="00CB1C5A" w:rsidRDefault="00DC4181" w:rsidP="00DC4181">
      <w:pPr>
        <w:pStyle w:val="BodyText"/>
        <w:spacing w:after="0"/>
        <w:ind w:left="360"/>
        <w:jc w:val="both"/>
      </w:pPr>
    </w:p>
    <w:p w:rsidR="00DC4181" w:rsidRPr="00CB1C5A" w:rsidRDefault="00DC4181" w:rsidP="00DC4181">
      <w:pPr>
        <w:jc w:val="both"/>
        <w:rPr>
          <w:b/>
        </w:rPr>
      </w:pPr>
      <w:r w:rsidRPr="00CB1C5A">
        <w:rPr>
          <w:b/>
        </w:rPr>
        <w:t>Komisija nolēma:</w:t>
      </w:r>
    </w:p>
    <w:p w:rsidR="00DC4181" w:rsidRPr="00CB1C5A" w:rsidRDefault="00DC4181" w:rsidP="00DC4181">
      <w:pPr>
        <w:widowControl w:val="0"/>
        <w:numPr>
          <w:ilvl w:val="0"/>
          <w:numId w:val="3"/>
        </w:numPr>
        <w:tabs>
          <w:tab w:val="left" w:pos="709"/>
          <w:tab w:val="left" w:pos="851"/>
        </w:tabs>
        <w:jc w:val="both"/>
      </w:pPr>
      <w:r w:rsidRPr="00CB1C5A">
        <w:t xml:space="preserve">Galējai vērtēšanai paliek pretendents SIA "PROOFTOOLS", </w:t>
      </w:r>
      <w:r w:rsidR="00522F7C">
        <w:t>kura piedāvājums</w:t>
      </w:r>
      <w:r w:rsidRPr="00CB1C5A">
        <w:t xml:space="preserve"> atbilst ZS štāba </w:t>
      </w:r>
      <w:r w:rsidR="00EF414E">
        <w:t>nolikuma</w:t>
      </w:r>
      <w:r w:rsidR="00522F7C">
        <w:t>m</w:t>
      </w:r>
      <w:r w:rsidR="00EF414E">
        <w:t xml:space="preserve">, </w:t>
      </w:r>
      <w:r w:rsidRPr="00CB1C5A">
        <w:t>tehnisko specifikāciju prasībām</w:t>
      </w:r>
      <w:r w:rsidR="00EF414E">
        <w:t xml:space="preserve"> un </w:t>
      </w:r>
      <w:r w:rsidR="00522F7C">
        <w:t xml:space="preserve">ir </w:t>
      </w:r>
      <w:r w:rsidR="00EF414E">
        <w:t>saimnieciski izdevīgākais</w:t>
      </w:r>
      <w:r w:rsidR="00522F7C">
        <w:t xml:space="preserve"> piedāvājums</w:t>
      </w:r>
      <w:r w:rsidRPr="00CB1C5A">
        <w:t>;</w:t>
      </w:r>
    </w:p>
    <w:p w:rsidR="00DC4181" w:rsidRPr="00CB1C5A" w:rsidRDefault="00DC4181" w:rsidP="00DC4181">
      <w:pPr>
        <w:widowControl w:val="0"/>
        <w:numPr>
          <w:ilvl w:val="0"/>
          <w:numId w:val="3"/>
        </w:numPr>
        <w:tabs>
          <w:tab w:val="left" w:pos="709"/>
          <w:tab w:val="left" w:pos="851"/>
        </w:tabs>
        <w:jc w:val="both"/>
      </w:pPr>
      <w:r w:rsidRPr="00CB1C5A">
        <w:t>SIA "PROOFTOOLS" piegādes termiņi, nekvalitatīvas preces apmaiņas (pret jaunu) termiņi, kā arī piedāvātās cenas ir pieņemamas;</w:t>
      </w:r>
    </w:p>
    <w:p w:rsidR="00DC4181" w:rsidRPr="00CB1C5A" w:rsidRDefault="00DC4181" w:rsidP="00DC4181">
      <w:pPr>
        <w:numPr>
          <w:ilvl w:val="0"/>
          <w:numId w:val="3"/>
        </w:numPr>
        <w:jc w:val="both"/>
      </w:pPr>
      <w:r w:rsidRPr="00CB1C5A">
        <w:t>pārbaudot potenciālo uzvarētāju publiskajā datubāzē VID, SIA "PROOFTOOLS" nav pasludināts maksātnespējas process un tas neatrodas likvidācijas stadijā, kā arī tam nav nodokļu parādu, tajā skaitā valsts sociālās apdrošināšanas iemaksu parādu, kas kopsummā pārsniedz 150 EUR;</w:t>
      </w:r>
    </w:p>
    <w:p w:rsidR="00DC4181" w:rsidRPr="00CB1C5A" w:rsidRDefault="00DC4181" w:rsidP="00DC4181">
      <w:pPr>
        <w:numPr>
          <w:ilvl w:val="0"/>
          <w:numId w:val="3"/>
        </w:numPr>
        <w:jc w:val="both"/>
      </w:pPr>
      <w:r w:rsidRPr="00522F7C">
        <w:rPr>
          <w:b/>
        </w:rPr>
        <w:t>piešķirt</w:t>
      </w:r>
      <w:r w:rsidRPr="00CB1C5A">
        <w:t xml:space="preserve"> SIA "PROOFTOOLS" iepirkuma izpildes tiesības iepirkumam “Tehnoloģiskie agregāti un instrumenti” </w:t>
      </w:r>
      <w:r w:rsidRPr="00CB1C5A">
        <w:rPr>
          <w:bCs/>
          <w:i/>
        </w:rPr>
        <w:t>identifikācijas Nr.AM NBS ZS štābs 2018/1</w:t>
      </w:r>
      <w:r w:rsidR="003E702C" w:rsidRPr="00CB1C5A">
        <w:rPr>
          <w:bCs/>
          <w:i/>
        </w:rPr>
        <w:t>3</w:t>
      </w:r>
      <w:r w:rsidRPr="00CB1C5A">
        <w:t xml:space="preserve">, līguma kopējā summa nedrīkst pārsniegt </w:t>
      </w:r>
      <w:r w:rsidRPr="007146E5">
        <w:t xml:space="preserve">EUR </w:t>
      </w:r>
      <w:r w:rsidRPr="007146E5">
        <w:rPr>
          <w:b/>
        </w:rPr>
        <w:t>41 999,99</w:t>
      </w:r>
      <w:r w:rsidRPr="00CB1C5A">
        <w:rPr>
          <w:b/>
        </w:rPr>
        <w:t xml:space="preserve"> (bez PVN)</w:t>
      </w:r>
      <w:r w:rsidRPr="00CB1C5A">
        <w:t xml:space="preserve">; </w:t>
      </w:r>
    </w:p>
    <w:p w:rsidR="00DC4181" w:rsidRPr="00CB1C5A" w:rsidRDefault="00DC4181" w:rsidP="00DC4181">
      <w:pPr>
        <w:numPr>
          <w:ilvl w:val="0"/>
          <w:numId w:val="3"/>
        </w:numPr>
        <w:jc w:val="both"/>
      </w:pPr>
      <w:r w:rsidRPr="00CB1C5A">
        <w:t>trīs darba dienu laikā informēt pretendentus par komisijas pieņemto lēmumu attiecībā uz iepirkumu izpildes tiesību piešķiršanu;</w:t>
      </w:r>
    </w:p>
    <w:p w:rsidR="00DC4181" w:rsidRPr="00CB1C5A" w:rsidRDefault="00DC4181" w:rsidP="00DC4181">
      <w:pPr>
        <w:numPr>
          <w:ilvl w:val="0"/>
          <w:numId w:val="3"/>
        </w:numPr>
        <w:jc w:val="both"/>
      </w:pPr>
      <w:r w:rsidRPr="00CB1C5A">
        <w:t>divu darba dienu laikā nosūtīt AM NPD lēmuma protokola izrakstu;</w:t>
      </w:r>
    </w:p>
    <w:p w:rsidR="00DC4181" w:rsidRPr="00CB1C5A" w:rsidRDefault="00DC4181" w:rsidP="00DC4181">
      <w:pPr>
        <w:numPr>
          <w:ilvl w:val="0"/>
          <w:numId w:val="3"/>
        </w:numPr>
        <w:jc w:val="both"/>
      </w:pPr>
      <w:r w:rsidRPr="00CB1C5A">
        <w:t>kapteinei K.VAVILOVAI pēc līguma parakstīšanas, sagatavot informatīvo paziņojumu par noslēgto līgumu un nosūtīt uz ZS štābu tā publicēšanai Iepirkumu uzraudzības birojam.</w:t>
      </w:r>
    </w:p>
    <w:p w:rsidR="00DC4181" w:rsidRPr="00CB1C5A" w:rsidRDefault="00DC4181" w:rsidP="00DC4181">
      <w:pPr>
        <w:jc w:val="both"/>
      </w:pPr>
      <w:r w:rsidRPr="00CB1C5A">
        <w:t>Pielikumā:</w:t>
      </w:r>
    </w:p>
    <w:p w:rsidR="00DC4181" w:rsidRPr="00CB1C5A" w:rsidRDefault="00DC4181" w:rsidP="00DC4181">
      <w:pPr>
        <w:numPr>
          <w:ilvl w:val="0"/>
          <w:numId w:val="4"/>
        </w:numPr>
        <w:ind w:left="709" w:hanging="283"/>
        <w:jc w:val="both"/>
      </w:pPr>
      <w:r w:rsidRPr="00CB1C5A">
        <w:t>Pretendentu atlases izvērtējuma kopējā tabula uz 1 lapas (1.pielikums).</w:t>
      </w:r>
    </w:p>
    <w:p w:rsidR="00DC4181" w:rsidRPr="00CB1C5A" w:rsidRDefault="00DC4181" w:rsidP="00DC4181">
      <w:pPr>
        <w:numPr>
          <w:ilvl w:val="0"/>
          <w:numId w:val="4"/>
        </w:numPr>
        <w:ind w:left="709" w:hanging="283"/>
        <w:jc w:val="both"/>
      </w:pPr>
      <w:r w:rsidRPr="00CB1C5A">
        <w:rPr>
          <w:bCs/>
        </w:rPr>
        <w:t xml:space="preserve">Pretendentu tehniskā piedāvājuma atbilstības izvērtējuma kopējā tabula uz 1 lapas </w:t>
      </w:r>
      <w:r w:rsidRPr="00CB1C5A">
        <w:t>(2.pielikums).</w:t>
      </w:r>
    </w:p>
    <w:p w:rsidR="00DC4181" w:rsidRPr="00CB1C5A" w:rsidRDefault="00DC4181" w:rsidP="003F27EA">
      <w:pPr>
        <w:numPr>
          <w:ilvl w:val="0"/>
          <w:numId w:val="4"/>
        </w:numPr>
        <w:ind w:hanging="294"/>
        <w:jc w:val="both"/>
      </w:pPr>
      <w:r w:rsidRPr="00CB1C5A">
        <w:t>Pretendenta piedāvāto cenu un saimnieciskā izdevīguma izvērtējuma tabula uz 1 lapas (3.pielikums).</w:t>
      </w:r>
    </w:p>
    <w:p w:rsidR="00DC4181" w:rsidRPr="00CB1C5A" w:rsidRDefault="00DC4181" w:rsidP="00DC4181">
      <w:pPr>
        <w:numPr>
          <w:ilvl w:val="0"/>
          <w:numId w:val="4"/>
        </w:numPr>
        <w:ind w:left="709" w:hanging="283"/>
        <w:jc w:val="both"/>
      </w:pPr>
      <w:r w:rsidRPr="00CB1C5A">
        <w:t xml:space="preserve">E-izziņa uz </w:t>
      </w:r>
      <w:r w:rsidR="00CB1C5A">
        <w:t>1</w:t>
      </w:r>
      <w:r w:rsidRPr="00CB1C5A">
        <w:t xml:space="preserve"> lapām.</w:t>
      </w:r>
      <w:bookmarkStart w:id="0" w:name="_GoBack"/>
      <w:bookmarkEnd w:id="0"/>
    </w:p>
    <w:p w:rsidR="00DC4181" w:rsidRPr="00CB1C5A" w:rsidRDefault="00DC4181" w:rsidP="00DC4181">
      <w:pPr>
        <w:tabs>
          <w:tab w:val="num" w:pos="720"/>
        </w:tabs>
        <w:ind w:left="360"/>
        <w:jc w:val="both"/>
        <w:rPr>
          <w:sz w:val="16"/>
          <w:szCs w:val="16"/>
        </w:rPr>
      </w:pPr>
    </w:p>
    <w:p w:rsidR="00DC4181" w:rsidRPr="00CB1C5A" w:rsidRDefault="00DC4181" w:rsidP="00DC4181">
      <w:pPr>
        <w:tabs>
          <w:tab w:val="num" w:pos="720"/>
        </w:tabs>
        <w:ind w:left="360"/>
        <w:jc w:val="both"/>
        <w:rPr>
          <w:sz w:val="16"/>
          <w:szCs w:val="16"/>
        </w:rPr>
      </w:pPr>
    </w:p>
    <w:p w:rsidR="00DC4181" w:rsidRPr="00CB1C5A" w:rsidRDefault="00DC4181" w:rsidP="00DC4181">
      <w:pPr>
        <w:tabs>
          <w:tab w:val="num" w:pos="720"/>
        </w:tabs>
        <w:ind w:left="360"/>
        <w:jc w:val="both"/>
        <w:rPr>
          <w:sz w:val="16"/>
          <w:szCs w:val="16"/>
        </w:rPr>
      </w:pPr>
    </w:p>
    <w:p w:rsidR="00DC4181" w:rsidRPr="00CB1C5A" w:rsidRDefault="00DC4181" w:rsidP="00DC4181">
      <w:pPr>
        <w:jc w:val="both"/>
      </w:pPr>
      <w:r w:rsidRPr="00CB1C5A">
        <w:rPr>
          <w:b/>
          <w:bCs/>
        </w:rPr>
        <w:t>Komisijas sēde beidzas</w:t>
      </w:r>
      <w:r w:rsidRPr="00CB1C5A">
        <w:t>: plkst. 1</w:t>
      </w:r>
      <w:r w:rsidR="00AC0A17" w:rsidRPr="00CB1C5A">
        <w:t>1</w:t>
      </w:r>
      <w:r w:rsidR="00AC0A17" w:rsidRPr="00CB1C5A">
        <w:rPr>
          <w:vertAlign w:val="superscript"/>
        </w:rPr>
        <w:t>30</w:t>
      </w:r>
    </w:p>
    <w:p w:rsidR="00DC4181" w:rsidRPr="00CB1C5A" w:rsidRDefault="00DC4181" w:rsidP="00DC4181">
      <w:pPr>
        <w:jc w:val="both"/>
      </w:pPr>
    </w:p>
    <w:tbl>
      <w:tblPr>
        <w:tblW w:w="0" w:type="auto"/>
        <w:tblLook w:val="04A0" w:firstRow="1" w:lastRow="0" w:firstColumn="1" w:lastColumn="0" w:noHBand="0" w:noVBand="1"/>
      </w:tblPr>
      <w:tblGrid>
        <w:gridCol w:w="5497"/>
        <w:gridCol w:w="3857"/>
      </w:tblGrid>
      <w:tr w:rsidR="00CB1C5A" w:rsidRPr="00CB1C5A" w:rsidTr="00C43211">
        <w:tc>
          <w:tcPr>
            <w:tcW w:w="5497" w:type="dxa"/>
            <w:shd w:val="clear" w:color="auto" w:fill="auto"/>
          </w:tcPr>
          <w:p w:rsidR="00DC4181" w:rsidRPr="00CB1C5A" w:rsidRDefault="00DC4181" w:rsidP="00C43211">
            <w:pPr>
              <w:jc w:val="both"/>
            </w:pPr>
            <w:r w:rsidRPr="00CB1C5A">
              <w:t>Komisijas priekšsēdētājs:</w:t>
            </w:r>
          </w:p>
          <w:p w:rsidR="00DC4181" w:rsidRPr="00CB1C5A" w:rsidRDefault="00DC4181" w:rsidP="00C43211">
            <w:pPr>
              <w:jc w:val="both"/>
            </w:pPr>
          </w:p>
        </w:tc>
        <w:tc>
          <w:tcPr>
            <w:tcW w:w="3857" w:type="dxa"/>
            <w:shd w:val="clear" w:color="auto" w:fill="auto"/>
          </w:tcPr>
          <w:p w:rsidR="00DC4181" w:rsidRPr="00CB1C5A" w:rsidRDefault="00DC4181" w:rsidP="00C43211">
            <w:pPr>
              <w:jc w:val="both"/>
            </w:pPr>
            <w:r w:rsidRPr="00CB1C5A">
              <w:t xml:space="preserve">E.ZELENOVS </w:t>
            </w:r>
          </w:p>
        </w:tc>
      </w:tr>
      <w:tr w:rsidR="00CB1C5A" w:rsidRPr="00CB1C5A" w:rsidTr="00C43211">
        <w:tc>
          <w:tcPr>
            <w:tcW w:w="5497" w:type="dxa"/>
            <w:shd w:val="clear" w:color="auto" w:fill="auto"/>
          </w:tcPr>
          <w:p w:rsidR="00DC4181" w:rsidRPr="00CB1C5A" w:rsidRDefault="00DC4181" w:rsidP="00C43211">
            <w:pPr>
              <w:jc w:val="both"/>
            </w:pPr>
            <w:r w:rsidRPr="00CB1C5A">
              <w:t>Komisijas locekļi:</w:t>
            </w:r>
          </w:p>
        </w:tc>
        <w:tc>
          <w:tcPr>
            <w:tcW w:w="3857" w:type="dxa"/>
            <w:shd w:val="clear" w:color="auto" w:fill="auto"/>
          </w:tcPr>
          <w:p w:rsidR="00DC4181" w:rsidRPr="00CB1C5A" w:rsidRDefault="00DC4181" w:rsidP="003E702C">
            <w:pPr>
              <w:jc w:val="both"/>
              <w:rPr>
                <w:sz w:val="16"/>
                <w:szCs w:val="16"/>
              </w:rPr>
            </w:pPr>
            <w:r w:rsidRPr="00CB1C5A">
              <w:t>K.VAVILOVA</w:t>
            </w:r>
          </w:p>
        </w:tc>
      </w:tr>
      <w:tr w:rsidR="00CB1C5A" w:rsidRPr="00CB1C5A" w:rsidTr="00C43211">
        <w:trPr>
          <w:trHeight w:val="312"/>
        </w:trPr>
        <w:tc>
          <w:tcPr>
            <w:tcW w:w="5497" w:type="dxa"/>
            <w:shd w:val="clear" w:color="auto" w:fill="auto"/>
          </w:tcPr>
          <w:p w:rsidR="00DC4181" w:rsidRPr="00CB1C5A" w:rsidRDefault="00DC4181" w:rsidP="00C43211">
            <w:pPr>
              <w:jc w:val="both"/>
              <w:rPr>
                <w:b/>
                <w:sz w:val="14"/>
              </w:rPr>
            </w:pPr>
          </w:p>
        </w:tc>
        <w:tc>
          <w:tcPr>
            <w:tcW w:w="3857" w:type="dxa"/>
            <w:shd w:val="clear" w:color="auto" w:fill="auto"/>
          </w:tcPr>
          <w:p w:rsidR="00DC4181" w:rsidRPr="00CB1C5A" w:rsidRDefault="00DC4181" w:rsidP="00C43211">
            <w:pPr>
              <w:jc w:val="both"/>
              <w:rPr>
                <w:sz w:val="14"/>
              </w:rPr>
            </w:pPr>
          </w:p>
          <w:p w:rsidR="003E702C" w:rsidRPr="00CB1C5A" w:rsidRDefault="003E702C" w:rsidP="00C43211">
            <w:pPr>
              <w:jc w:val="both"/>
            </w:pPr>
            <w:r w:rsidRPr="00CB1C5A">
              <w:t>V.PAUKŠTE</w:t>
            </w:r>
          </w:p>
          <w:p w:rsidR="003E702C" w:rsidRPr="00CB1C5A" w:rsidRDefault="003E702C" w:rsidP="00C43211">
            <w:pPr>
              <w:jc w:val="both"/>
              <w:rPr>
                <w:sz w:val="14"/>
              </w:rPr>
            </w:pPr>
          </w:p>
        </w:tc>
      </w:tr>
      <w:tr w:rsidR="00CB1C5A" w:rsidRPr="00CB1C5A" w:rsidTr="00C43211">
        <w:tc>
          <w:tcPr>
            <w:tcW w:w="5497" w:type="dxa"/>
            <w:shd w:val="clear" w:color="auto" w:fill="auto"/>
          </w:tcPr>
          <w:p w:rsidR="00DC4181" w:rsidRPr="00CB1C5A" w:rsidRDefault="00DC4181" w:rsidP="00C43211">
            <w:pPr>
              <w:jc w:val="both"/>
              <w:rPr>
                <w:b/>
              </w:rPr>
            </w:pPr>
          </w:p>
        </w:tc>
        <w:tc>
          <w:tcPr>
            <w:tcW w:w="3857" w:type="dxa"/>
            <w:shd w:val="clear" w:color="auto" w:fill="auto"/>
          </w:tcPr>
          <w:p w:rsidR="00DC4181" w:rsidRPr="00CB1C5A" w:rsidRDefault="00DC4181" w:rsidP="00C43211">
            <w:pPr>
              <w:jc w:val="both"/>
              <w:rPr>
                <w:sz w:val="10"/>
              </w:rPr>
            </w:pPr>
          </w:p>
          <w:p w:rsidR="00DC4181" w:rsidRPr="00CB1C5A" w:rsidRDefault="00DC4181" w:rsidP="00C43211">
            <w:pPr>
              <w:jc w:val="both"/>
            </w:pPr>
            <w:r w:rsidRPr="00CB1C5A">
              <w:t>J.VERPELS</w:t>
            </w:r>
          </w:p>
        </w:tc>
      </w:tr>
      <w:tr w:rsidR="00CB1C5A" w:rsidRPr="00CB1C5A" w:rsidTr="003E702C">
        <w:trPr>
          <w:trHeight w:val="254"/>
        </w:trPr>
        <w:tc>
          <w:tcPr>
            <w:tcW w:w="5497" w:type="dxa"/>
            <w:shd w:val="clear" w:color="auto" w:fill="auto"/>
          </w:tcPr>
          <w:p w:rsidR="00DC4181" w:rsidRPr="00CB1C5A" w:rsidRDefault="00DC4181" w:rsidP="00C43211">
            <w:pPr>
              <w:jc w:val="both"/>
              <w:rPr>
                <w:b/>
              </w:rPr>
            </w:pPr>
          </w:p>
        </w:tc>
        <w:tc>
          <w:tcPr>
            <w:tcW w:w="3857" w:type="dxa"/>
            <w:shd w:val="clear" w:color="auto" w:fill="auto"/>
          </w:tcPr>
          <w:p w:rsidR="00DC4181" w:rsidRPr="00CB1C5A" w:rsidRDefault="00DC4181" w:rsidP="00C43211">
            <w:pPr>
              <w:jc w:val="both"/>
            </w:pPr>
          </w:p>
        </w:tc>
      </w:tr>
      <w:tr w:rsidR="003E702C" w:rsidRPr="00CB1C5A" w:rsidTr="00C43211">
        <w:tc>
          <w:tcPr>
            <w:tcW w:w="5497" w:type="dxa"/>
            <w:shd w:val="clear" w:color="auto" w:fill="auto"/>
          </w:tcPr>
          <w:p w:rsidR="00DC4181" w:rsidRPr="00CB1C5A" w:rsidRDefault="00DC4181" w:rsidP="00C43211">
            <w:pPr>
              <w:jc w:val="both"/>
            </w:pPr>
            <w:r w:rsidRPr="00CB1C5A">
              <w:t>Protokolē:</w:t>
            </w:r>
          </w:p>
        </w:tc>
        <w:tc>
          <w:tcPr>
            <w:tcW w:w="3857" w:type="dxa"/>
            <w:shd w:val="clear" w:color="auto" w:fill="auto"/>
          </w:tcPr>
          <w:p w:rsidR="00DC4181" w:rsidRPr="00CB1C5A" w:rsidRDefault="003E702C" w:rsidP="00C43211">
            <w:pPr>
              <w:jc w:val="both"/>
            </w:pPr>
            <w:r w:rsidRPr="00CB1C5A">
              <w:t>G.LOČMELE</w:t>
            </w:r>
          </w:p>
        </w:tc>
      </w:tr>
    </w:tbl>
    <w:p w:rsidR="00DC4181" w:rsidRPr="00CB1C5A" w:rsidRDefault="00DC4181" w:rsidP="00DC4181">
      <w:pPr>
        <w:tabs>
          <w:tab w:val="left" w:pos="-1260"/>
        </w:tabs>
        <w:jc w:val="both"/>
        <w:rPr>
          <w:b/>
        </w:rPr>
      </w:pPr>
    </w:p>
    <w:p w:rsidR="0027509F" w:rsidRPr="00CB1C5A" w:rsidRDefault="0027509F"/>
    <w:sectPr w:rsidR="0027509F" w:rsidRPr="00CB1C5A" w:rsidSect="003E702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Dutch TL">
    <w:altName w:val="Times New Roman"/>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D6BD8"/>
    <w:multiLevelType w:val="hybridMultilevel"/>
    <w:tmpl w:val="20B63E7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40AF3E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D34629"/>
    <w:multiLevelType w:val="hybridMultilevel"/>
    <w:tmpl w:val="A2B47786"/>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B8B33C7"/>
    <w:multiLevelType w:val="multilevel"/>
    <w:tmpl w:val="A2B4778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81"/>
    <w:rsid w:val="0027509F"/>
    <w:rsid w:val="003E702C"/>
    <w:rsid w:val="003F27EA"/>
    <w:rsid w:val="00522F7C"/>
    <w:rsid w:val="007146E5"/>
    <w:rsid w:val="00AC0A17"/>
    <w:rsid w:val="00CB1C5A"/>
    <w:rsid w:val="00DC4181"/>
    <w:rsid w:val="00EF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968F5-9C30-4027-B27A-7F259BA3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181"/>
    <w:pPr>
      <w:spacing w:after="0" w:line="240" w:lineRule="auto"/>
    </w:pPr>
    <w:rPr>
      <w:rFonts w:ascii="Times New Roman" w:eastAsia="Times New Roman" w:hAnsi="Times New Roman" w:cs="Times New Roman"/>
      <w:sz w:val="24"/>
      <w:szCs w:val="24"/>
      <w:lang w:val="lv-LV"/>
    </w:rPr>
  </w:style>
  <w:style w:type="paragraph" w:styleId="Heading5">
    <w:name w:val="heading 5"/>
    <w:basedOn w:val="Normal"/>
    <w:next w:val="Normal"/>
    <w:link w:val="Heading5Char"/>
    <w:qFormat/>
    <w:rsid w:val="00DC4181"/>
    <w:pPr>
      <w:keepNext/>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C4181"/>
    <w:rPr>
      <w:rFonts w:ascii="Times New Roman" w:eastAsia="Times New Roman" w:hAnsi="Times New Roman" w:cs="Times New Roman"/>
      <w:b/>
      <w:sz w:val="28"/>
      <w:szCs w:val="24"/>
      <w:lang w:val="lv-LV"/>
    </w:rPr>
  </w:style>
  <w:style w:type="paragraph" w:styleId="Header">
    <w:name w:val="header"/>
    <w:basedOn w:val="Normal"/>
    <w:link w:val="HeaderChar"/>
    <w:rsid w:val="00DC4181"/>
    <w:pPr>
      <w:tabs>
        <w:tab w:val="center" w:pos="4320"/>
        <w:tab w:val="right" w:pos="8640"/>
      </w:tabs>
    </w:pPr>
    <w:rPr>
      <w:rFonts w:ascii="Dutch TL" w:hAnsi="Dutch TL"/>
      <w:szCs w:val="20"/>
    </w:rPr>
  </w:style>
  <w:style w:type="character" w:customStyle="1" w:styleId="HeaderChar">
    <w:name w:val="Header Char"/>
    <w:basedOn w:val="DefaultParagraphFont"/>
    <w:link w:val="Header"/>
    <w:rsid w:val="00DC4181"/>
    <w:rPr>
      <w:rFonts w:ascii="Dutch TL" w:eastAsia="Times New Roman" w:hAnsi="Dutch TL" w:cs="Times New Roman"/>
      <w:sz w:val="24"/>
      <w:szCs w:val="20"/>
      <w:lang w:val="lv-LV"/>
    </w:rPr>
  </w:style>
  <w:style w:type="paragraph" w:styleId="BodyTextIndent">
    <w:name w:val="Body Text Indent"/>
    <w:basedOn w:val="Normal"/>
    <w:link w:val="BodyTextIndentChar"/>
    <w:rsid w:val="00DC4181"/>
    <w:pPr>
      <w:tabs>
        <w:tab w:val="left" w:pos="-1309"/>
      </w:tabs>
      <w:ind w:left="3179" w:hanging="2431"/>
      <w:jc w:val="both"/>
    </w:pPr>
  </w:style>
  <w:style w:type="character" w:customStyle="1" w:styleId="BodyTextIndentChar">
    <w:name w:val="Body Text Indent Char"/>
    <w:basedOn w:val="DefaultParagraphFont"/>
    <w:link w:val="BodyTextIndent"/>
    <w:rsid w:val="00DC4181"/>
    <w:rPr>
      <w:rFonts w:ascii="Times New Roman" w:eastAsia="Times New Roman" w:hAnsi="Times New Roman" w:cs="Times New Roman"/>
      <w:sz w:val="24"/>
      <w:szCs w:val="24"/>
      <w:lang w:val="lv-LV"/>
    </w:rPr>
  </w:style>
  <w:style w:type="paragraph" w:styleId="BodyText">
    <w:name w:val="Body Text"/>
    <w:basedOn w:val="Normal"/>
    <w:link w:val="BodyTextChar"/>
    <w:rsid w:val="00DC4181"/>
    <w:pPr>
      <w:spacing w:after="120"/>
    </w:pPr>
  </w:style>
  <w:style w:type="character" w:customStyle="1" w:styleId="BodyTextChar">
    <w:name w:val="Body Text Char"/>
    <w:basedOn w:val="DefaultParagraphFont"/>
    <w:link w:val="BodyText"/>
    <w:rsid w:val="00DC4181"/>
    <w:rPr>
      <w:rFonts w:ascii="Times New Roman" w:eastAsia="Times New Roman" w:hAnsi="Times New Roman" w:cs="Times New Roman"/>
      <w:sz w:val="24"/>
      <w:szCs w:val="24"/>
      <w:lang w:val="lv-LV"/>
    </w:rPr>
  </w:style>
  <w:style w:type="paragraph" w:styleId="ListParagraph">
    <w:name w:val="List Paragraph"/>
    <w:basedOn w:val="Normal"/>
    <w:uiPriority w:val="34"/>
    <w:qFormat/>
    <w:rsid w:val="00DC4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 Ločmele</dc:creator>
  <cp:keywords/>
  <dc:description/>
  <cp:lastModifiedBy>Guna Ločmele</cp:lastModifiedBy>
  <cp:revision>6</cp:revision>
  <dcterms:created xsi:type="dcterms:W3CDTF">2018-05-28T13:25:00Z</dcterms:created>
  <dcterms:modified xsi:type="dcterms:W3CDTF">2018-06-19T10:21:00Z</dcterms:modified>
</cp:coreProperties>
</file>