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8379E6" w:rsidRPr="00A212E1">
        <w:rPr>
          <w:b/>
        </w:rPr>
        <w:t>CISCO apmācību laboratorijas aprīkojuma iegāde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E7C77">
        <w:rPr>
          <w:bCs/>
        </w:rPr>
        <w:t>de</w:t>
      </w:r>
      <w:r w:rsidR="008379E6">
        <w:rPr>
          <w:bCs/>
        </w:rPr>
        <w:t>ntifikācijas Nr. VAMOIC 2018/135</w:t>
      </w:r>
      <w:r w:rsidRPr="00B24D14">
        <w:rPr>
          <w:bCs/>
        </w:rPr>
        <w:t>)</w:t>
      </w:r>
    </w:p>
    <w:p w:rsidR="00DE7C77" w:rsidRDefault="00EB0ABC" w:rsidP="00365D37">
      <w:pPr>
        <w:jc w:val="center"/>
        <w:outlineLvl w:val="0"/>
        <w:rPr>
          <w:b/>
        </w:rPr>
      </w:pPr>
      <w:r w:rsidRPr="00946527">
        <w:rPr>
          <w:b/>
        </w:rPr>
        <w:t>ZIŅOJUMS</w:t>
      </w:r>
    </w:p>
    <w:p w:rsidR="003C3956" w:rsidRPr="00946527" w:rsidRDefault="003C3956" w:rsidP="00365D37">
      <w:pPr>
        <w:jc w:val="center"/>
        <w:outlineLvl w:val="0"/>
        <w:rPr>
          <w:b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977"/>
        <w:gridCol w:w="4536"/>
      </w:tblGrid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7513" w:type="dxa"/>
            <w:gridSpan w:val="2"/>
          </w:tcPr>
          <w:p w:rsidR="00EB0ABC" w:rsidRPr="00946527" w:rsidRDefault="000902AC" w:rsidP="00DE7C77">
            <w:pPr>
              <w:jc w:val="right"/>
            </w:pPr>
            <w:r w:rsidRPr="00C05133">
              <w:t>201</w:t>
            </w:r>
            <w:r w:rsidR="00DE7C77">
              <w:t>8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proofErr w:type="gramStart"/>
            <w:r w:rsidR="008379E6">
              <w:t>13</w:t>
            </w:r>
            <w:r w:rsidR="00EB5731">
              <w:t>.</w:t>
            </w:r>
            <w:r w:rsidR="00DE7C77">
              <w:t>septembrī</w:t>
            </w:r>
            <w:proofErr w:type="gramEnd"/>
          </w:p>
        </w:tc>
      </w:tr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7513" w:type="dxa"/>
            <w:gridSpan w:val="2"/>
          </w:tcPr>
          <w:p w:rsidR="00EB0ABC" w:rsidRPr="00946527" w:rsidRDefault="003F0DA7" w:rsidP="003846E1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8379E6">
              <w:t>135</w:t>
            </w:r>
          </w:p>
        </w:tc>
      </w:tr>
      <w:tr w:rsidR="009A5B3D" w:rsidRPr="00946527" w:rsidTr="00EE0CF7">
        <w:tc>
          <w:tcPr>
            <w:tcW w:w="2156" w:type="dxa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7513" w:type="dxa"/>
            <w:gridSpan w:val="2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EE0CF7">
        <w:tc>
          <w:tcPr>
            <w:tcW w:w="2156" w:type="dxa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EB0ABC" w:rsidRDefault="00C05133" w:rsidP="00C05133">
            <w:r>
              <w:t xml:space="preserve">IUB – </w:t>
            </w:r>
            <w:r w:rsidR="00D7004F">
              <w:t>17</w:t>
            </w:r>
            <w:r w:rsidR="00DE7C77">
              <w:t>.07.2018</w:t>
            </w:r>
            <w:r>
              <w:t>.</w:t>
            </w:r>
          </w:p>
          <w:p w:rsidR="00C05133" w:rsidRPr="00C05133" w:rsidRDefault="00C05133" w:rsidP="00D7004F"/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7513" w:type="dxa"/>
            <w:gridSpan w:val="2"/>
          </w:tcPr>
          <w:p w:rsidR="00D7004F" w:rsidRPr="00FE0339" w:rsidRDefault="00D7004F" w:rsidP="00D7004F">
            <w:pPr>
              <w:shd w:val="clear" w:color="auto" w:fill="FFFFFF" w:themeFill="background1"/>
              <w:spacing w:line="252" w:lineRule="auto"/>
              <w:jc w:val="both"/>
            </w:pPr>
            <w:r w:rsidRPr="00E52298">
              <w:t>Nacionālo bruņoto sp</w:t>
            </w:r>
            <w:r>
              <w:t xml:space="preserve">ēku </w:t>
            </w:r>
            <w:r w:rsidRPr="009D018A">
              <w:t>Nodrošinājuma pavēlniecība</w:t>
            </w:r>
            <w:r>
              <w:t xml:space="preserve"> </w:t>
            </w:r>
            <w:r w:rsidRPr="00E52298">
              <w:t xml:space="preserve">(turpmāk – Pasūtītājs), kas atrodas </w:t>
            </w:r>
            <w:r>
              <w:t>Vienības gatvē 56</w:t>
            </w:r>
            <w:r w:rsidRPr="00E52298">
              <w:t xml:space="preserve">, </w:t>
            </w:r>
            <w:r>
              <w:t>Rīgā, LV-1004</w:t>
            </w:r>
            <w:r w:rsidRPr="00FE0339">
              <w:t>.</w:t>
            </w:r>
          </w:p>
          <w:p w:rsidR="00B24D14" w:rsidRPr="00204E34" w:rsidRDefault="00B24D14" w:rsidP="00DE7C77">
            <w:pPr>
              <w:ind w:right="34"/>
              <w:jc w:val="both"/>
            </w:pPr>
          </w:p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7513" w:type="dxa"/>
            <w:gridSpan w:val="2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EA0913" w:rsidRPr="00DE7C77" w:rsidRDefault="00EA0913" w:rsidP="000E4ABE">
            <w:pPr>
              <w:jc w:val="both"/>
            </w:pPr>
            <w:r w:rsidRPr="00DE7C77">
              <w:t xml:space="preserve">Komisijas, kas izveidota ar Valsts aizsardzības militāro </w:t>
            </w:r>
            <w:r w:rsidR="00DE7C77" w:rsidRPr="00DE7C77">
              <w:t>objektu un iepirkumu centra 2018</w:t>
            </w:r>
            <w:r w:rsidRPr="00DE7C77">
              <w:t xml:space="preserve">. gada </w:t>
            </w:r>
            <w:r w:rsidR="00D7004F">
              <w:t>28</w:t>
            </w:r>
            <w:r w:rsidRPr="00DE7C77">
              <w:t xml:space="preserve">. </w:t>
            </w:r>
            <w:r w:rsidR="00DE7C77" w:rsidRPr="00DE7C77">
              <w:t>jūnija</w:t>
            </w:r>
            <w:r w:rsidRPr="00DE7C77">
              <w:t xml:space="preserve"> rīkojumu Nr.</w:t>
            </w:r>
            <w:r w:rsidR="00D7004F">
              <w:t xml:space="preserve"> RPDJ/2018-801</w:t>
            </w:r>
            <w:r w:rsidRPr="00DE7C77">
              <w:t>, sastāvs:</w:t>
            </w:r>
          </w:p>
          <w:p w:rsidR="00D7004F" w:rsidRPr="000B4A49" w:rsidRDefault="00D7004F" w:rsidP="00D7004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A49">
              <w:rPr>
                <w:rFonts w:ascii="Times New Roman" w:hAnsi="Times New Roman"/>
                <w:sz w:val="24"/>
                <w:szCs w:val="24"/>
              </w:rPr>
              <w:t>Komisijas priekšsēdētāja – Ilona Petkeviča, Centra Materiāltehnisko līdzekļu departamenta Centralizēto iepirkumu vadības nodaļas pārvaldes vecākā referente;</w:t>
            </w:r>
          </w:p>
          <w:p w:rsidR="00D7004F" w:rsidRPr="000B4A49" w:rsidRDefault="00D7004F" w:rsidP="00D7004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A49">
              <w:rPr>
                <w:rFonts w:ascii="Times New Roman" w:hAnsi="Times New Roman"/>
                <w:sz w:val="24"/>
                <w:szCs w:val="24"/>
              </w:rPr>
              <w:t>Komisijas priekšsēdētājas vietniece – Zane Bērziņa, Centra Materiāltehnisko līdzekļu departamenta Centralizēto iepirkumu vadības nodaļas pārvaldes vecākā referente;</w:t>
            </w:r>
          </w:p>
          <w:p w:rsidR="00D7004F" w:rsidRPr="000B4A49" w:rsidRDefault="00D7004F" w:rsidP="00D7004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A49">
              <w:rPr>
                <w:rFonts w:ascii="Times New Roman" w:hAnsi="Times New Roman"/>
                <w:sz w:val="24"/>
                <w:szCs w:val="24"/>
              </w:rPr>
              <w:t>Komisijas jurists – Sandra Aare, Centra Juridiskā un iepirkumu nodrošinājuma departamenta Centralizēto iepirkumu juridiskā nodrošinājuma nodaļas juriskonsulte;</w:t>
            </w:r>
          </w:p>
          <w:p w:rsidR="00D7004F" w:rsidRPr="000B4A49" w:rsidRDefault="00D7004F" w:rsidP="00D7004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A49">
              <w:rPr>
                <w:rFonts w:ascii="Times New Roman" w:hAnsi="Times New Roman"/>
                <w:sz w:val="24"/>
                <w:szCs w:val="24"/>
              </w:rPr>
              <w:t>Iepirkuma atbildīgā amatpersona – majors Oļegs Liepiņš, NBS AŠ Sakaru un Informācijas sistēmu (SIS) departamenta SIS Plānošanas pārvaldes SIS Attīstības daļas vecākais virsnieks;</w:t>
            </w:r>
          </w:p>
          <w:p w:rsidR="00D7004F" w:rsidRPr="000B4A49" w:rsidRDefault="00D7004F" w:rsidP="00D7004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A49">
              <w:rPr>
                <w:rFonts w:ascii="Times New Roman" w:hAnsi="Times New Roman"/>
                <w:sz w:val="24"/>
                <w:szCs w:val="24"/>
              </w:rPr>
              <w:t xml:space="preserve">Komisijas sekretāre – </w:t>
            </w:r>
            <w:r>
              <w:rPr>
                <w:rFonts w:ascii="Times New Roman" w:hAnsi="Times New Roman"/>
                <w:sz w:val="24"/>
                <w:szCs w:val="24"/>
              </w:rPr>
              <w:t>Marina Imbrasa-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Kuļiņiča</w:t>
            </w:r>
            <w:proofErr w:type="spellEnd"/>
            <w:r w:rsidRPr="000B4A49">
              <w:rPr>
                <w:rFonts w:ascii="Times New Roman" w:hAnsi="Times New Roman"/>
                <w:sz w:val="24"/>
                <w:szCs w:val="24"/>
              </w:rPr>
              <w:t xml:space="preserve">, Centra Materiāltehnisko līdzekļu departamenta Centralizēto iepirkumu vadības nodaļas </w:t>
            </w:r>
            <w:r>
              <w:rPr>
                <w:rFonts w:ascii="Times New Roman" w:hAnsi="Times New Roman"/>
                <w:sz w:val="24"/>
                <w:szCs w:val="24"/>
              </w:rPr>
              <w:t>pārvaldes vecākā referente</w:t>
            </w:r>
            <w:r w:rsidRPr="000B4A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C77" w:rsidRPr="00DE7C77" w:rsidRDefault="00DE7C77" w:rsidP="00DE7C77">
            <w:pPr>
              <w:pStyle w:val="Subtitle"/>
              <w:jc w:val="both"/>
              <w:rPr>
                <w:szCs w:val="24"/>
              </w:rPr>
            </w:pPr>
            <w:r w:rsidRPr="00DE7C77">
              <w:rPr>
                <w:szCs w:val="24"/>
              </w:rPr>
              <w:lastRenderedPageBreak/>
              <w:t xml:space="preserve">Sakarā ar </w:t>
            </w:r>
            <w:proofErr w:type="spellStart"/>
            <w:r w:rsidR="00D7004F">
              <w:rPr>
                <w:szCs w:val="24"/>
              </w:rPr>
              <w:t>maj</w:t>
            </w:r>
            <w:proofErr w:type="spellEnd"/>
            <w:r w:rsidR="00D7004F">
              <w:rPr>
                <w:szCs w:val="24"/>
              </w:rPr>
              <w:t>. O.Liepiņa</w:t>
            </w:r>
            <w:r w:rsidRPr="00DE7C77">
              <w:rPr>
                <w:szCs w:val="24"/>
              </w:rPr>
              <w:t xml:space="preserve"> prombūtni ikgadējā atvaļinājumā, sask</w:t>
            </w:r>
            <w:r w:rsidR="00D7004F">
              <w:rPr>
                <w:szCs w:val="24"/>
              </w:rPr>
              <w:t>aņā ar Centra 03.08</w:t>
            </w:r>
            <w:r w:rsidRPr="00DE7C77">
              <w:rPr>
                <w:szCs w:val="24"/>
              </w:rPr>
              <w:t>.</w:t>
            </w:r>
            <w:r w:rsidR="00D7004F">
              <w:rPr>
                <w:szCs w:val="24"/>
              </w:rPr>
              <w:t>2018. rīkojumu Nr. RPDJ/2018-1013 no 03.08.</w:t>
            </w:r>
            <w:r w:rsidRPr="00DE7C77">
              <w:rPr>
                <w:szCs w:val="24"/>
              </w:rPr>
              <w:t>2018. līdz 0</w:t>
            </w:r>
            <w:r w:rsidR="00D7004F">
              <w:rPr>
                <w:szCs w:val="24"/>
              </w:rPr>
              <w:t>1</w:t>
            </w:r>
            <w:r w:rsidRPr="00DE7C77">
              <w:rPr>
                <w:szCs w:val="24"/>
              </w:rPr>
              <w:t xml:space="preserve">.09.2018. </w:t>
            </w:r>
            <w:r w:rsidR="00C227D3">
              <w:rPr>
                <w:szCs w:val="24"/>
              </w:rPr>
              <w:t>iepirkuma atbildīgās amatpersonas</w:t>
            </w:r>
            <w:r w:rsidRPr="00DE7C77">
              <w:rPr>
                <w:szCs w:val="24"/>
              </w:rPr>
              <w:t xml:space="preserve"> pienākumus pilda </w:t>
            </w:r>
            <w:proofErr w:type="spellStart"/>
            <w:r w:rsidR="00C227D3">
              <w:rPr>
                <w:szCs w:val="24"/>
              </w:rPr>
              <w:t>kpt</w:t>
            </w:r>
            <w:proofErr w:type="spellEnd"/>
            <w:r w:rsidR="00C227D3">
              <w:rPr>
                <w:szCs w:val="24"/>
              </w:rPr>
              <w:t xml:space="preserve">. Rudīte </w:t>
            </w:r>
            <w:proofErr w:type="spellStart"/>
            <w:r w:rsidR="00C227D3">
              <w:rPr>
                <w:szCs w:val="24"/>
              </w:rPr>
              <w:t>Everte</w:t>
            </w:r>
            <w:proofErr w:type="spellEnd"/>
            <w:r w:rsidRPr="00DE7C77">
              <w:rPr>
                <w:szCs w:val="24"/>
              </w:rPr>
              <w:t xml:space="preserve">, </w:t>
            </w:r>
            <w:r w:rsidR="00C227D3">
              <w:rPr>
                <w:szCs w:val="24"/>
              </w:rPr>
              <w:t>NBS Apvienotā štāba Sakaru un informācijas sistēmu departamenta SIS plānošanas pārvaldes SIS īstermiņa plānošanas daļas vecākais virsnieks</w:t>
            </w:r>
            <w:r w:rsidRPr="00DE7C77">
              <w:rPr>
                <w:szCs w:val="24"/>
              </w:rPr>
              <w:t>.</w:t>
            </w:r>
          </w:p>
          <w:p w:rsidR="00616729" w:rsidRPr="003A0057" w:rsidRDefault="008818FB" w:rsidP="00EE0CF7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Pr="00DE7C77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C227D3">
              <w:rPr>
                <w:rFonts w:eastAsia="Calibri"/>
                <w:lang w:eastAsia="en-US"/>
              </w:rPr>
              <w:t>i</w:t>
            </w:r>
            <w:r w:rsidR="000E4ABE" w:rsidRPr="00DE7C77">
              <w:rPr>
                <w:rFonts w:eastAsia="Calibri"/>
                <w:lang w:eastAsia="en-US"/>
              </w:rPr>
              <w:t>:</w:t>
            </w:r>
            <w:r w:rsidR="00B833B0" w:rsidRPr="00DE7C77">
              <w:rPr>
                <w:rFonts w:eastAsia="Calibri"/>
                <w:lang w:eastAsia="en-US"/>
              </w:rPr>
              <w:t xml:space="preserve"> </w:t>
            </w:r>
            <w:r w:rsidR="00C227D3">
              <w:rPr>
                <w:rFonts w:eastAsia="Calibri"/>
                <w:lang w:eastAsia="en-US"/>
              </w:rPr>
              <w:t xml:space="preserve">J.Vītoliņš, G.Indriksons, </w:t>
            </w:r>
            <w:proofErr w:type="spellStart"/>
            <w:r w:rsidR="00C227D3">
              <w:rPr>
                <w:rFonts w:eastAsia="Calibri"/>
                <w:lang w:eastAsia="en-US"/>
              </w:rPr>
              <w:t>A.Uzuliņš</w:t>
            </w:r>
            <w:proofErr w:type="spellEnd"/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40FC8">
                <w:rPr>
                  <w:b/>
                  <w:i/>
                </w:rPr>
                <w:lastRenderedPageBreak/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513" w:type="dxa"/>
            <w:gridSpan w:val="2"/>
          </w:tcPr>
          <w:p w:rsidR="00F1531A" w:rsidRPr="00DE7C77" w:rsidRDefault="00C227D3" w:rsidP="00C227D3">
            <w:pPr>
              <w:shd w:val="clear" w:color="auto" w:fill="FFFFFF" w:themeFill="background1"/>
              <w:spacing w:line="252" w:lineRule="auto"/>
              <w:jc w:val="both"/>
              <w:rPr>
                <w:color w:val="7030A0"/>
              </w:rPr>
            </w:pPr>
            <w:r w:rsidRPr="004E3BEE">
              <w:t xml:space="preserve">Iepirkuma priekšmets </w:t>
            </w:r>
            <w:r w:rsidRPr="00D86F87">
              <w:t>ir CISCO apmācību laboratorijas aprīkojuma</w:t>
            </w:r>
            <w:r w:rsidRPr="009E5DC8">
              <w:t xml:space="preserve"> piegāde saskaņā ar tehnisko specifikāciju</w:t>
            </w:r>
            <w:r w:rsidR="00916A2F">
              <w:t>.</w:t>
            </w:r>
          </w:p>
        </w:tc>
      </w:tr>
      <w:tr w:rsidR="00D54EEE" w:rsidRPr="00946527" w:rsidTr="00EE0CF7">
        <w:tc>
          <w:tcPr>
            <w:tcW w:w="2156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7513" w:type="dxa"/>
            <w:gridSpan w:val="2"/>
          </w:tcPr>
          <w:p w:rsidR="0089719A" w:rsidRPr="00C227D3" w:rsidRDefault="00C227D3" w:rsidP="00C227D3">
            <w:pPr>
              <w:shd w:val="clear" w:color="auto" w:fill="FFFFFF" w:themeFill="background1"/>
              <w:spacing w:line="252" w:lineRule="auto"/>
              <w:jc w:val="both"/>
            </w:pPr>
            <w:r>
              <w:rPr>
                <w:rFonts w:eastAsia="Calibri"/>
              </w:rPr>
              <w:t>N</w:t>
            </w:r>
            <w:r w:rsidRPr="00184C08">
              <w:rPr>
                <w:rFonts w:eastAsia="Calibri"/>
              </w:rPr>
              <w:t>olikuma prasībām un tehniskajai specifikācijai</w:t>
            </w:r>
            <w:r w:rsidRPr="00184C08">
              <w:t xml:space="preserve"> atbilstošs saimnieciski visizdevīgākais piedāvājums, ņemot vērā </w:t>
            </w:r>
            <w:r w:rsidRPr="00D86F87">
              <w:t>viszemāko kopējo cenu EUR</w:t>
            </w:r>
            <w:r w:rsidRPr="00184C08">
              <w:t xml:space="preserve"> bez PVN.</w:t>
            </w:r>
          </w:p>
        </w:tc>
      </w:tr>
      <w:tr w:rsidR="00D54EEE" w:rsidRPr="00946527" w:rsidTr="00EE0CF7">
        <w:trPr>
          <w:trHeight w:val="600"/>
        </w:trPr>
        <w:tc>
          <w:tcPr>
            <w:tcW w:w="2156" w:type="dxa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7513" w:type="dxa"/>
            <w:gridSpan w:val="2"/>
          </w:tcPr>
          <w:p w:rsidR="00960008" w:rsidRPr="00946527" w:rsidRDefault="004B3948" w:rsidP="00DE7C77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r w:rsidR="00C227D3">
              <w:rPr>
                <w:b/>
              </w:rPr>
              <w:t>2. augustam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</w:p>
        </w:tc>
      </w:tr>
      <w:tr w:rsidR="00960008" w:rsidRPr="00946527" w:rsidTr="00EE0CF7">
        <w:trPr>
          <w:trHeight w:val="645"/>
        </w:trPr>
        <w:tc>
          <w:tcPr>
            <w:tcW w:w="2156" w:type="dxa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7513" w:type="dxa"/>
            <w:gridSpan w:val="2"/>
          </w:tcPr>
          <w:p w:rsidR="006C767B" w:rsidRPr="001F609C" w:rsidRDefault="00DE7C77" w:rsidP="00DE7C77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="00171E94" w:rsidRPr="00171E94">
              <w:rPr>
                <w:b/>
              </w:rPr>
              <w:t xml:space="preserve">. gada </w:t>
            </w:r>
            <w:r w:rsidR="00C227D3">
              <w:rPr>
                <w:b/>
              </w:rPr>
              <w:t>2. augustā</w:t>
            </w:r>
            <w:r w:rsidR="00C205C8">
              <w:rPr>
                <w:b/>
              </w:rPr>
              <w:t xml:space="preserve"> </w:t>
            </w:r>
            <w:r w:rsidR="00171E94" w:rsidRPr="00171E94">
              <w:rPr>
                <w:b/>
              </w:rPr>
              <w:t>plkst.11:00</w:t>
            </w:r>
            <w:r w:rsidR="00171E94" w:rsidRPr="00171E94">
              <w:t xml:space="preserve">, </w:t>
            </w:r>
            <w:r w:rsidR="00C205C8">
              <w:t>EIS,</w:t>
            </w:r>
            <w:r w:rsidR="00C65901">
              <w:t xml:space="preserve"> Ernestīnes ielā 34, Rīgā</w:t>
            </w:r>
            <w:r w:rsidR="00171E94" w:rsidRPr="00171E94">
              <w:t>.</w:t>
            </w:r>
          </w:p>
        </w:tc>
      </w:tr>
      <w:tr w:rsidR="0057425E" w:rsidRPr="00946527" w:rsidTr="00EE0CF7">
        <w:trPr>
          <w:trHeight w:val="525"/>
        </w:trPr>
        <w:tc>
          <w:tcPr>
            <w:tcW w:w="2156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7513" w:type="dxa"/>
            <w:gridSpan w:val="2"/>
          </w:tcPr>
          <w:p w:rsidR="00C227D3" w:rsidRDefault="00C227D3" w:rsidP="002B1590">
            <w:r>
              <w:t xml:space="preserve">1. </w:t>
            </w:r>
            <w:r w:rsidR="00D73534">
              <w:t>SIA “</w:t>
            </w:r>
            <w:r>
              <w:t xml:space="preserve">Santa </w:t>
            </w:r>
            <w:proofErr w:type="spellStart"/>
            <w:r>
              <w:t>Monica</w:t>
            </w:r>
            <w:proofErr w:type="spellEnd"/>
            <w:r>
              <w:t xml:space="preserve"> </w:t>
            </w:r>
            <w:proofErr w:type="spellStart"/>
            <w:r>
              <w:t>Networks</w:t>
            </w:r>
            <w:proofErr w:type="spellEnd"/>
            <w:r w:rsidR="004B0297">
              <w:t xml:space="preserve">”, </w:t>
            </w:r>
            <w:r>
              <w:t>iesniegts EIS 24.07</w:t>
            </w:r>
            <w:r w:rsidR="003A2F6E">
              <w:t xml:space="preserve">.2018. </w:t>
            </w:r>
            <w:r>
              <w:t>plkst. 14.5</w:t>
            </w:r>
            <w:r w:rsidR="003A2F6E">
              <w:t>0</w:t>
            </w:r>
            <w:r w:rsidR="004B0297">
              <w:t xml:space="preserve">, </w:t>
            </w:r>
          </w:p>
          <w:p w:rsidR="00C227D3" w:rsidRDefault="004B0297" w:rsidP="004B0297">
            <w:r>
              <w:t>kopējā</w:t>
            </w:r>
            <w:r w:rsidR="00D73534">
              <w:t xml:space="preserve"> vērtējamā cena ir </w:t>
            </w:r>
            <w:r w:rsidR="00C227D3">
              <w:t>30747</w:t>
            </w:r>
            <w:r w:rsidR="003A2F6E">
              <w:t xml:space="preserve"> EUR bez PVN;</w:t>
            </w:r>
          </w:p>
          <w:p w:rsidR="00D73534" w:rsidRPr="002B1590" w:rsidRDefault="00C227D3" w:rsidP="003A2F6E">
            <w:r>
              <w:t>2. AS</w:t>
            </w:r>
            <w:r w:rsidR="00D73534">
              <w:t xml:space="preserve"> “</w:t>
            </w:r>
            <w:proofErr w:type="spellStart"/>
            <w:r>
              <w:t>Capital</w:t>
            </w:r>
            <w:proofErr w:type="spellEnd"/>
            <w:r>
              <w:t>”, iesniegts EIS 02.08.2018. plkst. 10.09</w:t>
            </w:r>
            <w:r w:rsidR="004B0297">
              <w:t xml:space="preserve">, kopējā </w:t>
            </w:r>
            <w:r w:rsidR="00D73534">
              <w:t xml:space="preserve">vērtējamā </w:t>
            </w:r>
            <w:r w:rsidR="004B0297">
              <w:t xml:space="preserve">cena ir </w:t>
            </w:r>
            <w:r>
              <w:t>56196.</w:t>
            </w:r>
            <w:r w:rsidR="003B6059">
              <w:t>0</w:t>
            </w:r>
            <w:r>
              <w:t>0</w:t>
            </w:r>
            <w:r w:rsidR="004B0297">
              <w:t xml:space="preserve"> EUR bez PVN</w:t>
            </w:r>
            <w:r>
              <w:t>.</w:t>
            </w:r>
          </w:p>
        </w:tc>
      </w:tr>
      <w:tr w:rsidR="00A1635F" w:rsidRPr="00946527" w:rsidTr="00EE0CF7">
        <w:trPr>
          <w:trHeight w:val="354"/>
        </w:trPr>
        <w:tc>
          <w:tcPr>
            <w:tcW w:w="2156" w:type="dxa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C227D3" w:rsidRPr="00000C0D" w:rsidRDefault="00C227D3" w:rsidP="00C227D3">
            <w:pPr>
              <w:jc w:val="both"/>
            </w:pPr>
            <w:r w:rsidRPr="00000C0D">
              <w:t xml:space="preserve">Pamatojoties uz Publisko iepirkumu likuma </w:t>
            </w:r>
            <w:proofErr w:type="gramStart"/>
            <w:r w:rsidRPr="00000C0D">
              <w:t>51.panta</w:t>
            </w:r>
            <w:proofErr w:type="gramEnd"/>
            <w:r w:rsidRPr="00000C0D">
              <w:t xml:space="preserve"> pirmo daļu, Ministru kabineta 28.02.2017. noteikumu Nr. 107 “Iepirkuma procedūru un metu konkursu norises kārtība” 18.punktu</w:t>
            </w:r>
            <w:r>
              <w:t xml:space="preserve"> un atklāta konkursa nolikuma 49</w:t>
            </w:r>
            <w:r w:rsidRPr="00000C0D">
              <w:t xml:space="preserve">.1.punktu, līguma slēgšanas tiesības </w:t>
            </w:r>
            <w:r>
              <w:t>par CISCO apmācību laboratorijas aprīkojuma piegādi</w:t>
            </w:r>
            <w:r w:rsidRPr="00000C0D">
              <w:t xml:space="preserve"> piešķirt SIA „</w:t>
            </w:r>
            <w:r>
              <w:t xml:space="preserve">Santa </w:t>
            </w:r>
            <w:proofErr w:type="spellStart"/>
            <w:r>
              <w:t>Monica</w:t>
            </w:r>
            <w:proofErr w:type="spellEnd"/>
            <w:r>
              <w:t xml:space="preserve"> </w:t>
            </w:r>
            <w:proofErr w:type="spellStart"/>
            <w:r>
              <w:t>Networks</w:t>
            </w:r>
            <w:proofErr w:type="spellEnd"/>
            <w:r w:rsidRPr="00000C0D">
              <w:t>”, reģ. Nr. </w:t>
            </w:r>
            <w:r>
              <w:t>40003629130</w:t>
            </w:r>
            <w:r w:rsidRPr="00000C0D">
              <w:t xml:space="preserve">, par kopējo līguma summu </w:t>
            </w:r>
            <w:r>
              <w:t>30 747.00</w:t>
            </w:r>
            <w:r w:rsidRPr="00000C0D">
              <w:t xml:space="preserve"> EUR bez PVN.</w:t>
            </w:r>
          </w:p>
          <w:p w:rsidR="00EC63E9" w:rsidRPr="00284001" w:rsidRDefault="00C227D3" w:rsidP="00C227D3">
            <w:pPr>
              <w:jc w:val="both"/>
            </w:pPr>
            <w:r w:rsidRPr="00000C0D">
              <w:t>Līguma slēgšanas tiesības piešķirtas, jo pretendents ir piedāvājis nolikuma prasībām atbilstošu saimnieciski visizdevīgāko piedāvājumu, ņemot vērā kopējo viszemāko cenu.</w:t>
            </w:r>
          </w:p>
        </w:tc>
      </w:tr>
      <w:tr w:rsidR="006A6808" w:rsidRPr="00946527" w:rsidTr="00EE0CF7">
        <w:trPr>
          <w:trHeight w:val="354"/>
        </w:trPr>
        <w:tc>
          <w:tcPr>
            <w:tcW w:w="2156" w:type="dxa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7513" w:type="dxa"/>
            <w:gridSpan w:val="2"/>
            <w:vAlign w:val="center"/>
          </w:tcPr>
          <w:p w:rsidR="000967D3" w:rsidRPr="008F1171" w:rsidRDefault="00E34430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EE0CF7">
        <w:trPr>
          <w:trHeight w:val="354"/>
        </w:trPr>
        <w:tc>
          <w:tcPr>
            <w:tcW w:w="2156" w:type="dxa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 xml:space="preserve">Pamatojums lēmumam par noraidītajiem pretendentiem, kā arī par iepirkuma procedūras dokumentiem </w:t>
            </w:r>
            <w:r w:rsidRPr="00C40FC8">
              <w:rPr>
                <w:b/>
                <w:i/>
              </w:rPr>
              <w:lastRenderedPageBreak/>
              <w:t>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5D1054" w:rsidRPr="00E34430" w:rsidRDefault="00C227D3" w:rsidP="00E34430">
            <w:pPr>
              <w:spacing w:before="120" w:after="120"/>
              <w:contextualSpacing/>
              <w:jc w:val="both"/>
              <w:rPr>
                <w:b/>
              </w:rPr>
            </w:pPr>
            <w:r w:rsidRPr="00000C0D">
              <w:rPr>
                <w:lang w:eastAsia="en-US"/>
              </w:rPr>
              <w:lastRenderedPageBreak/>
              <w:t xml:space="preserve">Nepiešķirt līguma slēgšanas tiesības </w:t>
            </w:r>
            <w:r>
              <w:rPr>
                <w:lang w:eastAsia="en-US"/>
              </w:rPr>
              <w:t>AS “</w:t>
            </w:r>
            <w:proofErr w:type="spellStart"/>
            <w:r>
              <w:rPr>
                <w:lang w:eastAsia="en-US"/>
              </w:rPr>
              <w:t>Capital</w:t>
            </w:r>
            <w:proofErr w:type="spellEnd"/>
            <w:r>
              <w:rPr>
                <w:lang w:eastAsia="en-US"/>
              </w:rPr>
              <w:t>”</w:t>
            </w:r>
            <w:r w:rsidRPr="00000C0D">
              <w:rPr>
                <w:lang w:eastAsia="en-US"/>
              </w:rPr>
              <w:t>, reģ. Nr.</w:t>
            </w:r>
            <w:r>
              <w:rPr>
                <w:lang w:eastAsia="en-US"/>
              </w:rPr>
              <w:t>40003088497</w:t>
            </w:r>
            <w:r w:rsidRPr="00000C0D">
              <w:rPr>
                <w:lang w:eastAsia="en-US"/>
              </w:rPr>
              <w:t>, jo pretendenta piedāvājums nav saimnieciski visizdevīgākais, ņemot vērā kopējo viszemāko cenu.</w:t>
            </w:r>
          </w:p>
        </w:tc>
      </w:tr>
      <w:tr w:rsidR="006A6808" w:rsidRPr="00946527" w:rsidTr="00E34430">
        <w:trPr>
          <w:trHeight w:val="354"/>
        </w:trPr>
        <w:tc>
          <w:tcPr>
            <w:tcW w:w="5133" w:type="dxa"/>
            <w:gridSpan w:val="2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536" w:type="dxa"/>
            <w:vAlign w:val="center"/>
          </w:tcPr>
          <w:p w:rsidR="00C359D7" w:rsidRPr="008F1171" w:rsidRDefault="00E34430" w:rsidP="000967D3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BF41D6" w:rsidRPr="00946527" w:rsidTr="00E34430">
        <w:trPr>
          <w:trHeight w:val="354"/>
        </w:trPr>
        <w:tc>
          <w:tcPr>
            <w:tcW w:w="5133" w:type="dxa"/>
            <w:gridSpan w:val="2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4536" w:type="dxa"/>
            <w:vAlign w:val="center"/>
          </w:tcPr>
          <w:p w:rsidR="00BF41D6" w:rsidRPr="008F1171" w:rsidRDefault="00BF41D6" w:rsidP="00E34430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C227D3">
        <w:trPr>
          <w:trHeight w:val="866"/>
        </w:trPr>
        <w:tc>
          <w:tcPr>
            <w:tcW w:w="5133" w:type="dxa"/>
            <w:gridSpan w:val="2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4536" w:type="dxa"/>
          </w:tcPr>
          <w:p w:rsidR="00BF41D6" w:rsidRPr="00C65901" w:rsidRDefault="000967D3" w:rsidP="00C65901">
            <w:pPr>
              <w:spacing w:after="60"/>
              <w:jc w:val="both"/>
            </w:pPr>
            <w:r>
              <w:t xml:space="preserve">Nav </w:t>
            </w:r>
          </w:p>
        </w:tc>
      </w:tr>
      <w:tr w:rsidR="008D1408" w:rsidRPr="00946527" w:rsidTr="00C227D3">
        <w:trPr>
          <w:trHeight w:val="354"/>
        </w:trPr>
        <w:tc>
          <w:tcPr>
            <w:tcW w:w="5133" w:type="dxa"/>
            <w:gridSpan w:val="2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536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C227D3">
        <w:trPr>
          <w:trHeight w:val="354"/>
        </w:trPr>
        <w:tc>
          <w:tcPr>
            <w:tcW w:w="5133" w:type="dxa"/>
            <w:gridSpan w:val="2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4536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CD09BE" w:rsidRDefault="00CD09BE" w:rsidP="00A1635F">
      <w:pPr>
        <w:jc w:val="both"/>
      </w:pPr>
    </w:p>
    <w:p w:rsidR="00E34430" w:rsidRDefault="00E34430" w:rsidP="00A1635F">
      <w:pPr>
        <w:jc w:val="both"/>
      </w:pPr>
    </w:p>
    <w:p w:rsidR="00E34430" w:rsidRDefault="00E34430" w:rsidP="00A1635F">
      <w:pPr>
        <w:jc w:val="both"/>
      </w:pPr>
      <w:bookmarkStart w:id="0" w:name="_GoBack"/>
      <w:bookmarkEnd w:id="0"/>
    </w:p>
    <w:sectPr w:rsidR="00E34430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A4" w:rsidRDefault="005E2CA4">
      <w:r>
        <w:separator/>
      </w:r>
    </w:p>
  </w:endnote>
  <w:endnote w:type="continuationSeparator" w:id="0">
    <w:p w:rsidR="005E2CA4" w:rsidRDefault="005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989">
      <w:rPr>
        <w:rStyle w:val="PageNumber"/>
        <w:noProof/>
      </w:rPr>
      <w:t>3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A4" w:rsidRDefault="005E2CA4">
      <w:r>
        <w:separator/>
      </w:r>
    </w:p>
  </w:footnote>
  <w:footnote w:type="continuationSeparator" w:id="0">
    <w:p w:rsidR="005E2CA4" w:rsidRDefault="005E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2D66FA1"/>
    <w:multiLevelType w:val="multilevel"/>
    <w:tmpl w:val="F3361110"/>
    <w:lvl w:ilvl="0">
      <w:start w:val="10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2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6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6"/>
  </w:num>
  <w:num w:numId="5">
    <w:abstractNumId w:val="21"/>
  </w:num>
  <w:num w:numId="6">
    <w:abstractNumId w:val="19"/>
  </w:num>
  <w:num w:numId="7">
    <w:abstractNumId w:val="36"/>
  </w:num>
  <w:num w:numId="8">
    <w:abstractNumId w:val="6"/>
  </w:num>
  <w:num w:numId="9">
    <w:abstractNumId w:val="2"/>
  </w:num>
  <w:num w:numId="10">
    <w:abstractNumId w:val="35"/>
  </w:num>
  <w:num w:numId="11">
    <w:abstractNumId w:val="5"/>
  </w:num>
  <w:num w:numId="12">
    <w:abstractNumId w:val="15"/>
  </w:num>
  <w:num w:numId="13">
    <w:abstractNumId w:val="24"/>
  </w:num>
  <w:num w:numId="14">
    <w:abstractNumId w:val="33"/>
  </w:num>
  <w:num w:numId="15">
    <w:abstractNumId w:val="7"/>
  </w:num>
  <w:num w:numId="16">
    <w:abstractNumId w:val="34"/>
  </w:num>
  <w:num w:numId="17">
    <w:abstractNumId w:val="29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5"/>
  </w:num>
  <w:num w:numId="20">
    <w:abstractNumId w:val="4"/>
  </w:num>
  <w:num w:numId="21">
    <w:abstractNumId w:val="17"/>
  </w:num>
  <w:num w:numId="22">
    <w:abstractNumId w:val="27"/>
  </w:num>
  <w:num w:numId="23">
    <w:abstractNumId w:val="8"/>
  </w:num>
  <w:num w:numId="24">
    <w:abstractNumId w:val="20"/>
  </w:num>
  <w:num w:numId="25">
    <w:abstractNumId w:val="1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1"/>
  </w:num>
  <w:num w:numId="29">
    <w:abstractNumId w:val="23"/>
  </w:num>
  <w:num w:numId="30">
    <w:abstractNumId w:val="22"/>
  </w:num>
  <w:num w:numId="31">
    <w:abstractNumId w:val="13"/>
  </w:num>
  <w:num w:numId="32">
    <w:abstractNumId w:val="9"/>
  </w:num>
  <w:num w:numId="33">
    <w:abstractNumId w:val="10"/>
  </w:num>
  <w:num w:numId="34">
    <w:abstractNumId w:val="30"/>
  </w:num>
  <w:num w:numId="35">
    <w:abstractNumId w:val="32"/>
  </w:num>
  <w:num w:numId="36">
    <w:abstractNumId w:val="3"/>
  </w:num>
  <w:num w:numId="37">
    <w:abstractNumId w:val="37"/>
  </w:num>
  <w:num w:numId="38">
    <w:abstractNumId w:val="11"/>
  </w:num>
  <w:num w:numId="3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989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2F6E"/>
    <w:rsid w:val="003A307A"/>
    <w:rsid w:val="003B259B"/>
    <w:rsid w:val="003B360D"/>
    <w:rsid w:val="003B3AF9"/>
    <w:rsid w:val="003B605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9E6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16A2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7D3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04F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99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99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19B5-01C8-4B1F-9F82-2E65D253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584</Words>
  <Characters>4388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Marina Imbrasa</cp:lastModifiedBy>
  <cp:revision>11</cp:revision>
  <cp:lastPrinted>2018-09-10T10:18:00Z</cp:lastPrinted>
  <dcterms:created xsi:type="dcterms:W3CDTF">2018-09-10T08:32:00Z</dcterms:created>
  <dcterms:modified xsi:type="dcterms:W3CDTF">2018-09-13T11:36:00Z</dcterms:modified>
</cp:coreProperties>
</file>