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5C6364" w:rsidRDefault="00D368B6" w:rsidP="001A427B">
            <w:pPr>
              <w:pStyle w:val="Subtitle"/>
              <w:ind w:right="317"/>
              <w:jc w:val="both"/>
              <w:rPr>
                <w:b w:val="0"/>
                <w:sz w:val="22"/>
                <w:szCs w:val="22"/>
              </w:rPr>
            </w:pPr>
            <w:proofErr w:type="spellStart"/>
            <w:r w:rsidRPr="005C6364">
              <w:rPr>
                <w:b w:val="0"/>
                <w:sz w:val="22"/>
                <w:szCs w:val="22"/>
              </w:rPr>
              <w:t>Aizsardzības</w:t>
            </w:r>
            <w:proofErr w:type="spellEnd"/>
            <w:r w:rsidRPr="005C6364">
              <w:rPr>
                <w:b w:val="0"/>
                <w:sz w:val="22"/>
                <w:szCs w:val="22"/>
              </w:rPr>
              <w:t xml:space="preserve"> </w:t>
            </w:r>
            <w:proofErr w:type="spellStart"/>
            <w:r w:rsidRPr="005C6364">
              <w:rPr>
                <w:b w:val="0"/>
                <w:sz w:val="22"/>
                <w:szCs w:val="22"/>
              </w:rPr>
              <w:t>ministrijas</w:t>
            </w:r>
            <w:proofErr w:type="spellEnd"/>
            <w:r w:rsidRPr="005C6364">
              <w:rPr>
                <w:b w:val="0"/>
                <w:sz w:val="22"/>
                <w:szCs w:val="22"/>
              </w:rPr>
              <w:t xml:space="preserve"> </w:t>
            </w:r>
            <w:proofErr w:type="spellStart"/>
            <w:r w:rsidRPr="005C6364">
              <w:rPr>
                <w:b w:val="0"/>
                <w:sz w:val="22"/>
                <w:szCs w:val="22"/>
              </w:rPr>
              <w:t>Nacionālo</w:t>
            </w:r>
            <w:proofErr w:type="spellEnd"/>
            <w:r w:rsidRPr="005C6364">
              <w:rPr>
                <w:b w:val="0"/>
                <w:sz w:val="22"/>
                <w:szCs w:val="22"/>
              </w:rPr>
              <w:t xml:space="preserve"> </w:t>
            </w:r>
            <w:proofErr w:type="spellStart"/>
            <w:r w:rsidRPr="005C6364">
              <w:rPr>
                <w:b w:val="0"/>
                <w:sz w:val="22"/>
                <w:szCs w:val="22"/>
              </w:rPr>
              <w:t>bruņoto</w:t>
            </w:r>
            <w:proofErr w:type="spellEnd"/>
            <w:r w:rsidRPr="005C6364">
              <w:rPr>
                <w:b w:val="0"/>
                <w:sz w:val="22"/>
                <w:szCs w:val="22"/>
              </w:rPr>
              <w:t xml:space="preserve"> </w:t>
            </w:r>
            <w:proofErr w:type="spellStart"/>
            <w:r w:rsidRPr="005C6364">
              <w:rPr>
                <w:b w:val="0"/>
                <w:sz w:val="22"/>
                <w:szCs w:val="22"/>
              </w:rPr>
              <w:t>spēku</w:t>
            </w:r>
            <w:proofErr w:type="spellEnd"/>
            <w:r w:rsidRPr="005C6364">
              <w:rPr>
                <w:b w:val="0"/>
                <w:sz w:val="22"/>
                <w:szCs w:val="22"/>
              </w:rPr>
              <w:t xml:space="preserve"> Nodrošinājuma </w:t>
            </w:r>
            <w:proofErr w:type="spellStart"/>
            <w:r w:rsidRPr="005C6364">
              <w:rPr>
                <w:b w:val="0"/>
                <w:sz w:val="22"/>
                <w:szCs w:val="22"/>
              </w:rPr>
              <w:t>pavēlniecības</w:t>
            </w:r>
            <w:proofErr w:type="spellEnd"/>
            <w:r w:rsidRPr="005C6364">
              <w:rPr>
                <w:b w:val="0"/>
                <w:sz w:val="22"/>
                <w:szCs w:val="22"/>
              </w:rPr>
              <w:t xml:space="preserve"> </w:t>
            </w:r>
            <w:proofErr w:type="spellStart"/>
            <w:r w:rsidRPr="005C6364">
              <w:rPr>
                <w:b w:val="0"/>
                <w:sz w:val="22"/>
                <w:szCs w:val="22"/>
              </w:rPr>
              <w:t>štābs</w:t>
            </w:r>
            <w:proofErr w:type="spellEnd"/>
            <w:r w:rsidRPr="005C6364">
              <w:rPr>
                <w:b w:val="0"/>
                <w:sz w:val="22"/>
                <w:szCs w:val="22"/>
              </w:rPr>
              <w:t xml:space="preserve">, </w:t>
            </w:r>
            <w:proofErr w:type="spellStart"/>
            <w:r w:rsidR="004B717F" w:rsidRPr="005C6364">
              <w:rPr>
                <w:b w:val="0"/>
                <w:sz w:val="22"/>
                <w:szCs w:val="22"/>
              </w:rPr>
              <w:t>Vienības</w:t>
            </w:r>
            <w:proofErr w:type="spellEnd"/>
            <w:r w:rsidR="004B717F" w:rsidRPr="005C6364">
              <w:rPr>
                <w:b w:val="0"/>
                <w:sz w:val="22"/>
                <w:szCs w:val="22"/>
              </w:rPr>
              <w:t xml:space="preserve"> </w:t>
            </w:r>
            <w:proofErr w:type="spellStart"/>
            <w:r w:rsidR="004B717F" w:rsidRPr="005C6364">
              <w:rPr>
                <w:b w:val="0"/>
                <w:sz w:val="22"/>
                <w:szCs w:val="22"/>
              </w:rPr>
              <w:t>gatve</w:t>
            </w:r>
            <w:proofErr w:type="spellEnd"/>
            <w:r w:rsidR="004B717F" w:rsidRPr="005C6364">
              <w:rPr>
                <w:b w:val="0"/>
                <w:sz w:val="22"/>
                <w:szCs w:val="22"/>
              </w:rPr>
              <w:t xml:space="preserve"> 56, Rīga, LV-1004,</w:t>
            </w:r>
            <w:r w:rsidR="00584D0E" w:rsidRPr="005C6364">
              <w:rPr>
                <w:b w:val="0"/>
                <w:sz w:val="22"/>
                <w:szCs w:val="22"/>
              </w:rPr>
              <w:t xml:space="preserve"> </w:t>
            </w:r>
            <w:r w:rsidR="005E68E2" w:rsidRPr="005C6364">
              <w:rPr>
                <w:b w:val="0"/>
                <w:sz w:val="22"/>
                <w:szCs w:val="22"/>
              </w:rPr>
              <w:t xml:space="preserve">iepirkuma </w:t>
            </w:r>
            <w:r w:rsidR="0073341A" w:rsidRPr="005C6364">
              <w:rPr>
                <w:b w:val="0"/>
                <w:sz w:val="22"/>
                <w:szCs w:val="22"/>
              </w:rPr>
              <w:t>“Transportlīdzekļu remontdarbnīcu bīstamo atkritumu utilizācijas pakalpojumi”, identifikācijas numurs AM NBS NP 2018/</w:t>
            </w:r>
            <w:r w:rsidR="0073341A" w:rsidRPr="005C6364">
              <w:rPr>
                <w:b w:val="0"/>
                <w:noProof/>
                <w:sz w:val="22"/>
                <w:szCs w:val="22"/>
              </w:rPr>
              <w:t>014</w:t>
            </w:r>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8C4708" w:rsidRPr="005C6364" w:rsidRDefault="00E51D6A" w:rsidP="0073341A">
            <w:pPr>
              <w:pStyle w:val="Subtitle"/>
              <w:jc w:val="left"/>
              <w:rPr>
                <w:b w:val="0"/>
                <w:sz w:val="22"/>
                <w:szCs w:val="22"/>
              </w:rPr>
            </w:pPr>
            <w:r w:rsidRPr="005C6364">
              <w:rPr>
                <w:b w:val="0"/>
                <w:sz w:val="22"/>
                <w:szCs w:val="22"/>
              </w:rPr>
              <w:t>201</w:t>
            </w:r>
            <w:r w:rsidR="005E68E2" w:rsidRPr="005C6364">
              <w:rPr>
                <w:b w:val="0"/>
                <w:sz w:val="22"/>
                <w:szCs w:val="22"/>
              </w:rPr>
              <w:t>8</w:t>
            </w:r>
            <w:r w:rsidRPr="005C6364">
              <w:rPr>
                <w:b w:val="0"/>
                <w:sz w:val="22"/>
                <w:szCs w:val="22"/>
              </w:rPr>
              <w:t xml:space="preserve">.gada </w:t>
            </w:r>
            <w:r w:rsidR="0073341A" w:rsidRPr="005C6364">
              <w:rPr>
                <w:b w:val="0"/>
                <w:sz w:val="22"/>
                <w:szCs w:val="22"/>
              </w:rPr>
              <w:t>15</w:t>
            </w:r>
            <w:r w:rsidRPr="005C6364">
              <w:rPr>
                <w:b w:val="0"/>
                <w:sz w:val="22"/>
                <w:szCs w:val="22"/>
              </w:rPr>
              <w:t>.</w:t>
            </w:r>
            <w:r w:rsidR="00C228D7" w:rsidRPr="005C6364">
              <w:rPr>
                <w:b w:val="0"/>
                <w:sz w:val="22"/>
                <w:szCs w:val="22"/>
              </w:rPr>
              <w:t>maijā</w:t>
            </w:r>
            <w:bookmarkStart w:id="0" w:name="_GoBack"/>
            <w:bookmarkEnd w:id="0"/>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5C6364" w:rsidRDefault="00F53C2E" w:rsidP="0042211B">
            <w:pPr>
              <w:pStyle w:val="Header"/>
              <w:rPr>
                <w:rFonts w:ascii="Times New Roman" w:hAnsi="Times New Roman"/>
                <w:sz w:val="22"/>
                <w:szCs w:val="22"/>
              </w:rPr>
            </w:pPr>
            <w:r w:rsidRPr="005C6364">
              <w:rPr>
                <w:rFonts w:ascii="Times New Roman" w:hAnsi="Times New Roman"/>
                <w:sz w:val="22"/>
                <w:szCs w:val="22"/>
              </w:rPr>
              <w:t xml:space="preserve">Pamatojoties uz </w:t>
            </w:r>
            <w:r w:rsidR="00584D0E" w:rsidRPr="005C6364">
              <w:rPr>
                <w:rFonts w:ascii="Times New Roman" w:hAnsi="Times New Roman"/>
                <w:sz w:val="22"/>
                <w:szCs w:val="22"/>
              </w:rPr>
              <w:t xml:space="preserve">NP komandiera </w:t>
            </w:r>
            <w:r w:rsidR="00E51D6A" w:rsidRPr="005C6364">
              <w:rPr>
                <w:rFonts w:ascii="Times New Roman" w:hAnsi="Times New Roman"/>
                <w:sz w:val="22"/>
                <w:szCs w:val="22"/>
              </w:rPr>
              <w:t>201</w:t>
            </w:r>
            <w:r w:rsidR="004723DA" w:rsidRPr="005C6364">
              <w:rPr>
                <w:rFonts w:ascii="Times New Roman" w:hAnsi="Times New Roman"/>
                <w:sz w:val="22"/>
                <w:szCs w:val="22"/>
              </w:rPr>
              <w:t>8</w:t>
            </w:r>
            <w:r w:rsidR="00584D0E" w:rsidRPr="005C6364">
              <w:rPr>
                <w:rFonts w:ascii="Times New Roman" w:hAnsi="Times New Roman"/>
                <w:sz w:val="22"/>
                <w:szCs w:val="22"/>
              </w:rPr>
              <w:t xml:space="preserve">. gada </w:t>
            </w:r>
            <w:r w:rsidR="0042211B" w:rsidRPr="005C6364">
              <w:rPr>
                <w:rFonts w:ascii="Times New Roman" w:hAnsi="Times New Roman"/>
                <w:sz w:val="22"/>
                <w:szCs w:val="22"/>
              </w:rPr>
              <w:t>9</w:t>
            </w:r>
            <w:r w:rsidR="00584D0E" w:rsidRPr="005C6364">
              <w:rPr>
                <w:rFonts w:ascii="Times New Roman" w:hAnsi="Times New Roman"/>
                <w:sz w:val="22"/>
                <w:szCs w:val="22"/>
              </w:rPr>
              <w:t>.</w:t>
            </w:r>
            <w:r w:rsidR="008E05C3" w:rsidRPr="005C6364">
              <w:rPr>
                <w:rFonts w:ascii="Times New Roman" w:hAnsi="Times New Roman"/>
                <w:sz w:val="22"/>
                <w:szCs w:val="22"/>
              </w:rPr>
              <w:t>ma</w:t>
            </w:r>
            <w:r w:rsidR="00C228D7" w:rsidRPr="005C6364">
              <w:rPr>
                <w:rFonts w:ascii="Times New Roman" w:hAnsi="Times New Roman"/>
                <w:sz w:val="22"/>
                <w:szCs w:val="22"/>
              </w:rPr>
              <w:t>ija</w:t>
            </w:r>
            <w:r w:rsidR="008E05C3" w:rsidRPr="005C6364">
              <w:rPr>
                <w:rFonts w:ascii="Times New Roman" w:hAnsi="Times New Roman"/>
                <w:sz w:val="22"/>
                <w:szCs w:val="22"/>
              </w:rPr>
              <w:t xml:space="preserve"> pavēli Nr.</w:t>
            </w:r>
            <w:r w:rsidR="0042211B" w:rsidRPr="005C6364">
              <w:rPr>
                <w:rFonts w:ascii="Times New Roman" w:hAnsi="Times New Roman"/>
                <w:sz w:val="22"/>
                <w:szCs w:val="22"/>
              </w:rPr>
              <w:t>255</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5C6364" w:rsidRDefault="0042211B" w:rsidP="00C228D7">
            <w:pPr>
              <w:pStyle w:val="Subtitle"/>
              <w:jc w:val="left"/>
              <w:rPr>
                <w:b w:val="0"/>
                <w:sz w:val="22"/>
                <w:szCs w:val="22"/>
              </w:rPr>
            </w:pPr>
            <w:r w:rsidRPr="005C6364">
              <w:rPr>
                <w:b w:val="0"/>
                <w:sz w:val="22"/>
                <w:szCs w:val="22"/>
              </w:rPr>
              <w:t>30</w:t>
            </w:r>
            <w:r w:rsidR="007E1F7B" w:rsidRPr="005C6364">
              <w:rPr>
                <w:b w:val="0"/>
                <w:sz w:val="22"/>
                <w:szCs w:val="22"/>
              </w:rPr>
              <w:t>.0</w:t>
            </w:r>
            <w:r w:rsidR="00C228D7" w:rsidRPr="005C6364">
              <w:rPr>
                <w:b w:val="0"/>
                <w:sz w:val="22"/>
                <w:szCs w:val="22"/>
              </w:rPr>
              <w:t>5</w:t>
            </w:r>
            <w:r w:rsidR="007E1F7B" w:rsidRPr="005C6364">
              <w:rPr>
                <w:b w:val="0"/>
                <w:sz w:val="22"/>
                <w:szCs w:val="22"/>
              </w:rPr>
              <w:t>.2018.</w:t>
            </w:r>
            <w:r w:rsidR="00E51D6A" w:rsidRPr="005C6364">
              <w:rPr>
                <w:b w:val="0"/>
                <w:sz w:val="22"/>
                <w:szCs w:val="22"/>
              </w:rPr>
              <w:t xml:space="preserve">, plkst. </w:t>
            </w:r>
            <w:r w:rsidR="009E0736" w:rsidRPr="005C6364">
              <w:rPr>
                <w:b w:val="0"/>
                <w:sz w:val="22"/>
                <w:szCs w:val="22"/>
              </w:rPr>
              <w:t>1</w:t>
            </w:r>
            <w:r w:rsidR="004723DA" w:rsidRPr="005C6364">
              <w:rPr>
                <w:b w:val="0"/>
                <w:sz w:val="22"/>
                <w:szCs w:val="22"/>
              </w:rPr>
              <w:t>1</w:t>
            </w:r>
            <w:r w:rsidR="00E51D6A" w:rsidRPr="005C6364">
              <w:rPr>
                <w:b w:val="0"/>
                <w:sz w:val="22"/>
                <w:szCs w:val="22"/>
              </w:rPr>
              <w:t>:00</w:t>
            </w:r>
          </w:p>
        </w:tc>
      </w:tr>
      <w:tr w:rsidR="00416791" w:rsidRPr="0042211B"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8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3"/>
              <w:gridCol w:w="2976"/>
              <w:gridCol w:w="3489"/>
            </w:tblGrid>
            <w:tr w:rsidR="0042211B" w:rsidRPr="0042211B" w:rsidTr="006511A2">
              <w:trPr>
                <w:trHeight w:val="599"/>
              </w:trPr>
              <w:tc>
                <w:tcPr>
                  <w:tcW w:w="704" w:type="dxa"/>
                  <w:shd w:val="clear" w:color="auto" w:fill="auto"/>
                  <w:vAlign w:val="center"/>
                </w:tcPr>
                <w:p w:rsidR="0042211B" w:rsidRPr="0042211B" w:rsidRDefault="0042211B" w:rsidP="0042211B">
                  <w:pPr>
                    <w:jc w:val="center"/>
                    <w:rPr>
                      <w:b/>
                      <w:lang w:val="lv-LV"/>
                    </w:rPr>
                  </w:pPr>
                  <w:r w:rsidRPr="0042211B">
                    <w:rPr>
                      <w:b/>
                      <w:lang w:val="lv-LV"/>
                    </w:rPr>
                    <w:t>Nr.</w:t>
                  </w:r>
                </w:p>
                <w:p w:rsidR="0042211B" w:rsidRPr="0042211B" w:rsidRDefault="0042211B" w:rsidP="0042211B">
                  <w:pPr>
                    <w:jc w:val="center"/>
                    <w:rPr>
                      <w:b/>
                      <w:lang w:val="lv-LV"/>
                    </w:rPr>
                  </w:pPr>
                  <w:r w:rsidRPr="0042211B">
                    <w:rPr>
                      <w:b/>
                      <w:lang w:val="lv-LV"/>
                    </w:rPr>
                    <w:t>p.k.</w:t>
                  </w:r>
                </w:p>
              </w:tc>
              <w:tc>
                <w:tcPr>
                  <w:tcW w:w="993" w:type="dxa"/>
                  <w:vAlign w:val="center"/>
                </w:tcPr>
                <w:p w:rsidR="0042211B" w:rsidRPr="0042211B" w:rsidRDefault="0042211B" w:rsidP="0042211B">
                  <w:pPr>
                    <w:jc w:val="center"/>
                    <w:rPr>
                      <w:b/>
                      <w:lang w:val="lv-LV"/>
                    </w:rPr>
                  </w:pPr>
                  <w:proofErr w:type="spellStart"/>
                  <w:r w:rsidRPr="0042211B">
                    <w:rPr>
                      <w:b/>
                      <w:lang w:val="lv-LV"/>
                    </w:rPr>
                    <w:t>Reģ</w:t>
                  </w:r>
                  <w:proofErr w:type="spellEnd"/>
                  <w:r w:rsidRPr="0042211B">
                    <w:rPr>
                      <w:b/>
                      <w:lang w:val="lv-LV"/>
                    </w:rPr>
                    <w:t>.</w:t>
                  </w:r>
                </w:p>
                <w:p w:rsidR="0042211B" w:rsidRPr="0042211B" w:rsidRDefault="0042211B" w:rsidP="0042211B">
                  <w:pPr>
                    <w:jc w:val="center"/>
                    <w:rPr>
                      <w:b/>
                      <w:lang w:val="lv-LV"/>
                    </w:rPr>
                  </w:pPr>
                  <w:r w:rsidRPr="0042211B">
                    <w:rPr>
                      <w:b/>
                      <w:lang w:val="lv-LV"/>
                    </w:rPr>
                    <w:t>Nr.</w:t>
                  </w:r>
                </w:p>
              </w:tc>
              <w:tc>
                <w:tcPr>
                  <w:tcW w:w="2976" w:type="dxa"/>
                  <w:shd w:val="clear" w:color="auto" w:fill="auto"/>
                  <w:vAlign w:val="center"/>
                </w:tcPr>
                <w:p w:rsidR="0042211B" w:rsidRPr="0042211B" w:rsidRDefault="0042211B" w:rsidP="0042211B">
                  <w:pPr>
                    <w:jc w:val="center"/>
                    <w:rPr>
                      <w:b/>
                      <w:lang w:val="lv-LV"/>
                    </w:rPr>
                  </w:pPr>
                  <w:r w:rsidRPr="0042211B">
                    <w:rPr>
                      <w:b/>
                      <w:lang w:val="lv-LV"/>
                    </w:rPr>
                    <w:t>Iesniegšanas datums un laiks</w:t>
                  </w:r>
                </w:p>
              </w:tc>
              <w:tc>
                <w:tcPr>
                  <w:tcW w:w="3489" w:type="dxa"/>
                  <w:shd w:val="clear" w:color="auto" w:fill="auto"/>
                  <w:vAlign w:val="center"/>
                </w:tcPr>
                <w:p w:rsidR="0042211B" w:rsidRPr="0042211B" w:rsidRDefault="0042211B" w:rsidP="0042211B">
                  <w:pPr>
                    <w:jc w:val="center"/>
                    <w:rPr>
                      <w:b/>
                      <w:lang w:val="lv-LV"/>
                    </w:rPr>
                  </w:pPr>
                </w:p>
                <w:p w:rsidR="0042211B" w:rsidRPr="0042211B" w:rsidRDefault="0042211B" w:rsidP="0042211B">
                  <w:pPr>
                    <w:jc w:val="center"/>
                    <w:rPr>
                      <w:b/>
                      <w:lang w:val="lv-LV"/>
                    </w:rPr>
                  </w:pPr>
                  <w:r w:rsidRPr="0042211B">
                    <w:rPr>
                      <w:b/>
                      <w:lang w:val="lv-LV"/>
                    </w:rPr>
                    <w:t xml:space="preserve">Pretendenta nosaukums, </w:t>
                  </w:r>
                  <w:proofErr w:type="spellStart"/>
                  <w:r w:rsidRPr="0042211B">
                    <w:rPr>
                      <w:b/>
                      <w:lang w:val="lv-LV"/>
                    </w:rPr>
                    <w:t>Reģ</w:t>
                  </w:r>
                  <w:proofErr w:type="spellEnd"/>
                  <w:r w:rsidRPr="0042211B">
                    <w:rPr>
                      <w:b/>
                      <w:lang w:val="lv-LV"/>
                    </w:rPr>
                    <w:t>. Nr.</w:t>
                  </w:r>
                </w:p>
              </w:tc>
            </w:tr>
            <w:tr w:rsidR="0042211B" w:rsidRPr="0042211B" w:rsidTr="006511A2">
              <w:trPr>
                <w:trHeight w:val="782"/>
              </w:trPr>
              <w:tc>
                <w:tcPr>
                  <w:tcW w:w="704" w:type="dxa"/>
                  <w:shd w:val="clear" w:color="auto" w:fill="auto"/>
                  <w:vAlign w:val="center"/>
                </w:tcPr>
                <w:p w:rsidR="0042211B" w:rsidRPr="0042211B" w:rsidRDefault="0042211B" w:rsidP="0042211B">
                  <w:pPr>
                    <w:jc w:val="center"/>
                    <w:rPr>
                      <w:lang w:val="lv-LV"/>
                    </w:rPr>
                  </w:pPr>
                  <w:r w:rsidRPr="0042211B">
                    <w:rPr>
                      <w:lang w:val="lv-LV"/>
                    </w:rPr>
                    <w:t>1.</w:t>
                  </w:r>
                </w:p>
              </w:tc>
              <w:tc>
                <w:tcPr>
                  <w:tcW w:w="993" w:type="dxa"/>
                  <w:vAlign w:val="center"/>
                </w:tcPr>
                <w:p w:rsidR="0042211B" w:rsidRPr="0042211B" w:rsidRDefault="0042211B" w:rsidP="0042211B">
                  <w:pPr>
                    <w:jc w:val="center"/>
                    <w:rPr>
                      <w:lang w:val="lv-LV"/>
                    </w:rPr>
                  </w:pPr>
                  <w:r w:rsidRPr="0042211B">
                    <w:rPr>
                      <w:lang w:val="lv-LV"/>
                    </w:rPr>
                    <w:t>395</w:t>
                  </w:r>
                </w:p>
              </w:tc>
              <w:tc>
                <w:tcPr>
                  <w:tcW w:w="2976" w:type="dxa"/>
                  <w:shd w:val="clear" w:color="auto" w:fill="auto"/>
                  <w:vAlign w:val="center"/>
                </w:tcPr>
                <w:p w:rsidR="0042211B" w:rsidRPr="0042211B" w:rsidRDefault="0042211B" w:rsidP="0042211B">
                  <w:pPr>
                    <w:ind w:left="-68"/>
                    <w:jc w:val="center"/>
                    <w:rPr>
                      <w:lang w:val="lv-LV"/>
                    </w:rPr>
                  </w:pPr>
                  <w:r w:rsidRPr="0042211B">
                    <w:rPr>
                      <w:lang w:val="lv-LV"/>
                    </w:rPr>
                    <w:t>30.05.2018. plkst. 09:22</w:t>
                  </w:r>
                </w:p>
              </w:tc>
              <w:tc>
                <w:tcPr>
                  <w:tcW w:w="3489" w:type="dxa"/>
                  <w:shd w:val="clear" w:color="auto" w:fill="auto"/>
                  <w:vAlign w:val="center"/>
                </w:tcPr>
                <w:p w:rsidR="0042211B" w:rsidRPr="0042211B" w:rsidRDefault="0042211B" w:rsidP="0042211B">
                  <w:pPr>
                    <w:jc w:val="center"/>
                    <w:rPr>
                      <w:lang w:val="lv-LV"/>
                    </w:rPr>
                  </w:pPr>
                  <w:r w:rsidRPr="0042211B">
                    <w:rPr>
                      <w:lang w:val="lv-LV"/>
                    </w:rPr>
                    <w:t>SIA “</w:t>
                  </w:r>
                  <w:proofErr w:type="spellStart"/>
                  <w:r w:rsidRPr="0042211B">
                    <w:rPr>
                      <w:lang w:val="lv-LV"/>
                    </w:rPr>
                    <w:t>Lautus</w:t>
                  </w:r>
                  <w:proofErr w:type="spellEnd"/>
                  <w:r w:rsidRPr="0042211B">
                    <w:rPr>
                      <w:lang w:val="lv-LV"/>
                    </w:rPr>
                    <w:t>”</w:t>
                  </w:r>
                </w:p>
                <w:p w:rsidR="0042211B" w:rsidRPr="0042211B" w:rsidRDefault="0042211B" w:rsidP="0042211B">
                  <w:pPr>
                    <w:jc w:val="center"/>
                    <w:rPr>
                      <w:lang w:val="lv-LV"/>
                    </w:rPr>
                  </w:pPr>
                  <w:proofErr w:type="spellStart"/>
                  <w:r w:rsidRPr="0042211B">
                    <w:rPr>
                      <w:lang w:val="lv-LV"/>
                    </w:rPr>
                    <w:t>Reģ</w:t>
                  </w:r>
                  <w:proofErr w:type="spellEnd"/>
                  <w:r w:rsidRPr="0042211B">
                    <w:rPr>
                      <w:lang w:val="lv-LV"/>
                    </w:rPr>
                    <w:t>. Nr. 40003554635</w:t>
                  </w:r>
                </w:p>
              </w:tc>
            </w:tr>
          </w:tbl>
          <w:p w:rsidR="004723DA" w:rsidRPr="0042211B" w:rsidRDefault="004723DA" w:rsidP="004723DA">
            <w:pPr>
              <w:pStyle w:val="Header"/>
              <w:tabs>
                <w:tab w:val="left" w:pos="720"/>
              </w:tabs>
              <w:rPr>
                <w:rFonts w:ascii="Times New Roman" w:hAnsi="Times New Roman"/>
                <w:sz w:val="20"/>
              </w:rPr>
            </w:pPr>
          </w:p>
          <w:tbl>
            <w:tblPr>
              <w:tblStyle w:val="TableGrid"/>
              <w:tblW w:w="8109" w:type="dxa"/>
              <w:tblLayout w:type="fixed"/>
              <w:tblLook w:val="04A0" w:firstRow="1" w:lastRow="0" w:firstColumn="1" w:lastColumn="0" w:noHBand="0" w:noVBand="1"/>
            </w:tblPr>
            <w:tblGrid>
              <w:gridCol w:w="3006"/>
              <w:gridCol w:w="1864"/>
              <w:gridCol w:w="1864"/>
              <w:gridCol w:w="1375"/>
            </w:tblGrid>
            <w:tr w:rsidR="0042211B" w:rsidRPr="0042211B" w:rsidTr="0042211B">
              <w:tc>
                <w:tcPr>
                  <w:tcW w:w="3006" w:type="dxa"/>
                  <w:vAlign w:val="center"/>
                </w:tcPr>
                <w:p w:rsidR="0042211B" w:rsidRPr="0042211B" w:rsidRDefault="0042211B" w:rsidP="0042211B">
                  <w:pPr>
                    <w:rPr>
                      <w:b/>
                      <w:lang w:val="lv-LV" w:eastAsia="ru-RU"/>
                    </w:rPr>
                  </w:pPr>
                  <w:r w:rsidRPr="0042211B">
                    <w:rPr>
                      <w:b/>
                      <w:lang w:val="lv-LV" w:eastAsia="ru-RU"/>
                    </w:rPr>
                    <w:t>1.daļa</w:t>
                  </w:r>
                </w:p>
              </w:tc>
              <w:tc>
                <w:tcPr>
                  <w:tcW w:w="1864" w:type="dxa"/>
                  <w:vAlign w:val="center"/>
                </w:tcPr>
                <w:p w:rsidR="0042211B" w:rsidRPr="0042211B" w:rsidRDefault="0042211B" w:rsidP="0042211B">
                  <w:pPr>
                    <w:jc w:val="center"/>
                    <w:rPr>
                      <w:lang w:val="lv-LV" w:eastAsia="ru-RU"/>
                    </w:rPr>
                  </w:pPr>
                  <w:r w:rsidRPr="0042211B">
                    <w:rPr>
                      <w:lang w:val="lv-LV" w:eastAsia="ru-RU"/>
                    </w:rPr>
                    <w:t>Mērvienība</w:t>
                  </w:r>
                </w:p>
              </w:tc>
              <w:tc>
                <w:tcPr>
                  <w:tcW w:w="1864" w:type="dxa"/>
                  <w:tcBorders>
                    <w:top w:val="single" w:sz="8" w:space="0" w:color="auto"/>
                    <w:left w:val="single" w:sz="8" w:space="0" w:color="auto"/>
                    <w:bottom w:val="single" w:sz="8" w:space="0" w:color="auto"/>
                    <w:right w:val="single" w:sz="8" w:space="0" w:color="auto"/>
                  </w:tcBorders>
                  <w:vAlign w:val="center"/>
                </w:tcPr>
                <w:p w:rsidR="0042211B" w:rsidRPr="0042211B" w:rsidRDefault="0042211B" w:rsidP="0042211B">
                  <w:pPr>
                    <w:spacing w:after="120"/>
                    <w:jc w:val="center"/>
                    <w:rPr>
                      <w:bCs/>
                      <w:lang w:val="lv-LV" w:eastAsia="ru-RU"/>
                    </w:rPr>
                  </w:pPr>
                  <w:proofErr w:type="spellStart"/>
                  <w:r w:rsidRPr="0042211B">
                    <w:rPr>
                      <w:bCs/>
                      <w:lang w:val="lv-LV" w:eastAsia="ru-RU"/>
                    </w:rPr>
                    <w:t>Cens</w:t>
                  </w:r>
                  <w:proofErr w:type="spellEnd"/>
                  <w:r w:rsidRPr="0042211B">
                    <w:rPr>
                      <w:bCs/>
                      <w:lang w:val="lv-LV" w:eastAsia="ru-RU"/>
                    </w:rPr>
                    <w:t xml:space="preserve"> kopsumma EUR bez PVN</w:t>
                  </w:r>
                </w:p>
              </w:tc>
              <w:tc>
                <w:tcPr>
                  <w:tcW w:w="1375" w:type="dxa"/>
                  <w:tcBorders>
                    <w:top w:val="single" w:sz="8" w:space="0" w:color="auto"/>
                    <w:left w:val="single" w:sz="8" w:space="0" w:color="auto"/>
                    <w:bottom w:val="single" w:sz="8" w:space="0" w:color="auto"/>
                    <w:right w:val="single" w:sz="8" w:space="0" w:color="auto"/>
                  </w:tcBorders>
                  <w:vAlign w:val="center"/>
                </w:tcPr>
                <w:p w:rsidR="0042211B" w:rsidRPr="0042211B" w:rsidRDefault="0042211B" w:rsidP="0042211B">
                  <w:pPr>
                    <w:spacing w:after="120"/>
                    <w:jc w:val="center"/>
                    <w:rPr>
                      <w:bCs/>
                      <w:lang w:val="lv-LV" w:eastAsia="ru-RU"/>
                    </w:rPr>
                  </w:pPr>
                  <w:r w:rsidRPr="0042211B">
                    <w:rPr>
                      <w:bCs/>
                      <w:lang w:val="lv-LV" w:eastAsia="ru-RU"/>
                    </w:rPr>
                    <w:t>Cenas kopsumma EUR ar PVN</w:t>
                  </w:r>
                </w:p>
              </w:tc>
            </w:tr>
            <w:tr w:rsidR="0042211B" w:rsidRPr="0042211B" w:rsidTr="0042211B">
              <w:tc>
                <w:tcPr>
                  <w:tcW w:w="3006" w:type="dxa"/>
                  <w:vAlign w:val="center"/>
                </w:tcPr>
                <w:p w:rsidR="0042211B" w:rsidRPr="0042211B" w:rsidRDefault="0042211B" w:rsidP="0042211B">
                  <w:pPr>
                    <w:rPr>
                      <w:lang w:val="lv-LV" w:eastAsia="ru-RU"/>
                    </w:rPr>
                  </w:pPr>
                  <w:r w:rsidRPr="0042211B">
                    <w:rPr>
                      <w:color w:val="000000"/>
                      <w:lang w:val="lv-LV" w:eastAsia="ru-RU"/>
                    </w:rPr>
                    <w:t>NP TRNC 1.RTRC – Ventspils iela 102, Kuldīga</w:t>
                  </w:r>
                </w:p>
              </w:tc>
              <w:tc>
                <w:tcPr>
                  <w:tcW w:w="1864" w:type="dxa"/>
                  <w:vAlign w:val="center"/>
                </w:tcPr>
                <w:p w:rsidR="0042211B" w:rsidRPr="0042211B" w:rsidRDefault="0042211B" w:rsidP="0042211B">
                  <w:pPr>
                    <w:jc w:val="center"/>
                    <w:rPr>
                      <w:lang w:val="lv-LV" w:eastAsia="ru-RU"/>
                    </w:rPr>
                  </w:pPr>
                  <w:r w:rsidRPr="0042211B">
                    <w:rPr>
                      <w:lang w:val="lv-LV" w:eastAsia="ru-RU"/>
                    </w:rPr>
                    <w:t>1 kg</w:t>
                  </w:r>
                </w:p>
              </w:tc>
              <w:tc>
                <w:tcPr>
                  <w:tcW w:w="1864" w:type="dxa"/>
                  <w:tcBorders>
                    <w:top w:val="single" w:sz="4" w:space="0" w:color="auto"/>
                    <w:left w:val="single" w:sz="8" w:space="0" w:color="auto"/>
                    <w:bottom w:val="single" w:sz="4" w:space="0" w:color="auto"/>
                    <w:right w:val="single" w:sz="8" w:space="0" w:color="auto"/>
                  </w:tcBorders>
                  <w:vAlign w:val="center"/>
                </w:tcPr>
                <w:p w:rsidR="0042211B" w:rsidRPr="0042211B" w:rsidRDefault="0042211B" w:rsidP="0042211B">
                  <w:pPr>
                    <w:jc w:val="center"/>
                    <w:rPr>
                      <w:b/>
                      <w:lang w:val="lv-LV" w:eastAsia="ru-RU"/>
                    </w:rPr>
                  </w:pPr>
                  <w:r w:rsidRPr="0042211B">
                    <w:rPr>
                      <w:b/>
                      <w:lang w:val="lv-LV" w:eastAsia="ru-RU"/>
                    </w:rPr>
                    <w:t>7.78</w:t>
                  </w:r>
                </w:p>
              </w:tc>
              <w:tc>
                <w:tcPr>
                  <w:tcW w:w="1375" w:type="dxa"/>
                  <w:tcBorders>
                    <w:top w:val="single" w:sz="4" w:space="0" w:color="auto"/>
                    <w:left w:val="single" w:sz="8" w:space="0" w:color="auto"/>
                    <w:bottom w:val="single" w:sz="4" w:space="0" w:color="auto"/>
                    <w:right w:val="single" w:sz="8" w:space="0" w:color="auto"/>
                  </w:tcBorders>
                  <w:vAlign w:val="center"/>
                </w:tcPr>
                <w:p w:rsidR="0042211B" w:rsidRPr="0042211B" w:rsidRDefault="0042211B" w:rsidP="0042211B">
                  <w:pPr>
                    <w:jc w:val="center"/>
                    <w:rPr>
                      <w:b/>
                      <w:lang w:val="lv-LV" w:eastAsia="ru-RU"/>
                    </w:rPr>
                  </w:pPr>
                  <w:r w:rsidRPr="0042211B">
                    <w:rPr>
                      <w:b/>
                      <w:lang w:val="lv-LV" w:eastAsia="ru-RU"/>
                    </w:rPr>
                    <w:t>9.41</w:t>
                  </w:r>
                </w:p>
              </w:tc>
            </w:tr>
          </w:tbl>
          <w:p w:rsidR="0042211B" w:rsidRPr="0042211B" w:rsidRDefault="0042211B" w:rsidP="0042211B">
            <w:pPr>
              <w:jc w:val="both"/>
              <w:rPr>
                <w:lang w:val="lv-LV" w:eastAsia="ru-RU"/>
              </w:rPr>
            </w:pPr>
          </w:p>
          <w:tbl>
            <w:tblPr>
              <w:tblStyle w:val="TableGrid"/>
              <w:tblW w:w="8109" w:type="dxa"/>
              <w:tblLayout w:type="fixed"/>
              <w:tblLook w:val="04A0" w:firstRow="1" w:lastRow="0" w:firstColumn="1" w:lastColumn="0" w:noHBand="0" w:noVBand="1"/>
            </w:tblPr>
            <w:tblGrid>
              <w:gridCol w:w="3006"/>
              <w:gridCol w:w="1864"/>
              <w:gridCol w:w="1864"/>
              <w:gridCol w:w="1375"/>
            </w:tblGrid>
            <w:tr w:rsidR="0042211B" w:rsidRPr="0042211B" w:rsidTr="0042211B">
              <w:tc>
                <w:tcPr>
                  <w:tcW w:w="3006" w:type="dxa"/>
                  <w:vAlign w:val="center"/>
                </w:tcPr>
                <w:p w:rsidR="0042211B" w:rsidRPr="0042211B" w:rsidRDefault="0042211B" w:rsidP="0042211B">
                  <w:pPr>
                    <w:rPr>
                      <w:b/>
                      <w:lang w:val="lv-LV" w:eastAsia="ru-RU"/>
                    </w:rPr>
                  </w:pPr>
                  <w:r w:rsidRPr="0042211B">
                    <w:rPr>
                      <w:b/>
                      <w:lang w:val="lv-LV" w:eastAsia="ru-RU"/>
                    </w:rPr>
                    <w:t>2.daļa</w:t>
                  </w:r>
                </w:p>
              </w:tc>
              <w:tc>
                <w:tcPr>
                  <w:tcW w:w="1864" w:type="dxa"/>
                  <w:vAlign w:val="center"/>
                </w:tcPr>
                <w:p w:rsidR="0042211B" w:rsidRPr="0042211B" w:rsidRDefault="0042211B" w:rsidP="0042211B">
                  <w:pPr>
                    <w:jc w:val="center"/>
                    <w:rPr>
                      <w:lang w:val="lv-LV" w:eastAsia="ru-RU"/>
                    </w:rPr>
                  </w:pPr>
                  <w:r w:rsidRPr="0042211B">
                    <w:rPr>
                      <w:lang w:val="lv-LV" w:eastAsia="ru-RU"/>
                    </w:rPr>
                    <w:t>Mērvienība</w:t>
                  </w:r>
                </w:p>
              </w:tc>
              <w:tc>
                <w:tcPr>
                  <w:tcW w:w="1864" w:type="dxa"/>
                  <w:tcBorders>
                    <w:top w:val="single" w:sz="8" w:space="0" w:color="auto"/>
                    <w:left w:val="single" w:sz="8" w:space="0" w:color="auto"/>
                    <w:bottom w:val="single" w:sz="8" w:space="0" w:color="auto"/>
                    <w:right w:val="single" w:sz="8" w:space="0" w:color="auto"/>
                  </w:tcBorders>
                  <w:vAlign w:val="center"/>
                </w:tcPr>
                <w:p w:rsidR="0042211B" w:rsidRPr="0042211B" w:rsidRDefault="0042211B" w:rsidP="0042211B">
                  <w:pPr>
                    <w:spacing w:after="120"/>
                    <w:jc w:val="center"/>
                    <w:rPr>
                      <w:bCs/>
                      <w:lang w:val="lv-LV" w:eastAsia="ru-RU"/>
                    </w:rPr>
                  </w:pPr>
                  <w:proofErr w:type="spellStart"/>
                  <w:r w:rsidRPr="0042211B">
                    <w:rPr>
                      <w:bCs/>
                      <w:lang w:val="lv-LV" w:eastAsia="ru-RU"/>
                    </w:rPr>
                    <w:t>Cens</w:t>
                  </w:r>
                  <w:proofErr w:type="spellEnd"/>
                  <w:r w:rsidRPr="0042211B">
                    <w:rPr>
                      <w:bCs/>
                      <w:lang w:val="lv-LV" w:eastAsia="ru-RU"/>
                    </w:rPr>
                    <w:t xml:space="preserve"> kopsumma EUR bez PVN</w:t>
                  </w:r>
                </w:p>
              </w:tc>
              <w:tc>
                <w:tcPr>
                  <w:tcW w:w="1375" w:type="dxa"/>
                  <w:tcBorders>
                    <w:top w:val="single" w:sz="8" w:space="0" w:color="auto"/>
                    <w:left w:val="single" w:sz="8" w:space="0" w:color="auto"/>
                    <w:bottom w:val="single" w:sz="8" w:space="0" w:color="auto"/>
                    <w:right w:val="single" w:sz="8" w:space="0" w:color="auto"/>
                  </w:tcBorders>
                  <w:vAlign w:val="center"/>
                </w:tcPr>
                <w:p w:rsidR="0042211B" w:rsidRPr="0042211B" w:rsidRDefault="0042211B" w:rsidP="0042211B">
                  <w:pPr>
                    <w:spacing w:after="120"/>
                    <w:jc w:val="center"/>
                    <w:rPr>
                      <w:bCs/>
                      <w:lang w:val="lv-LV" w:eastAsia="ru-RU"/>
                    </w:rPr>
                  </w:pPr>
                  <w:r w:rsidRPr="0042211B">
                    <w:rPr>
                      <w:bCs/>
                      <w:lang w:val="lv-LV" w:eastAsia="ru-RU"/>
                    </w:rPr>
                    <w:t>Cenas kopsumma EUR ar PVN</w:t>
                  </w:r>
                </w:p>
              </w:tc>
            </w:tr>
            <w:tr w:rsidR="0042211B" w:rsidRPr="0042211B" w:rsidTr="0042211B">
              <w:tc>
                <w:tcPr>
                  <w:tcW w:w="3006" w:type="dxa"/>
                  <w:vAlign w:val="center"/>
                </w:tcPr>
                <w:p w:rsidR="0042211B" w:rsidRPr="0042211B" w:rsidRDefault="0042211B" w:rsidP="0042211B">
                  <w:pPr>
                    <w:rPr>
                      <w:lang w:val="lv-LV" w:eastAsia="ru-RU"/>
                    </w:rPr>
                  </w:pPr>
                  <w:r w:rsidRPr="0042211B">
                    <w:rPr>
                      <w:lang w:val="lv-LV" w:eastAsia="ru-RU"/>
                    </w:rPr>
                    <w:t xml:space="preserve">NP TRNC 2.RTRC – </w:t>
                  </w:r>
                  <w:proofErr w:type="spellStart"/>
                  <w:r w:rsidRPr="0042211B">
                    <w:rPr>
                      <w:lang w:val="lv-LV" w:eastAsia="ru-RU"/>
                    </w:rPr>
                    <w:t>Litavnieki</w:t>
                  </w:r>
                  <w:proofErr w:type="spellEnd"/>
                  <w:r w:rsidRPr="0042211B">
                    <w:rPr>
                      <w:lang w:val="lv-LV" w:eastAsia="ru-RU"/>
                    </w:rPr>
                    <w:t>, Preiļu pag., Preiļu nov.</w:t>
                  </w:r>
                </w:p>
              </w:tc>
              <w:tc>
                <w:tcPr>
                  <w:tcW w:w="1864" w:type="dxa"/>
                  <w:vAlign w:val="center"/>
                </w:tcPr>
                <w:p w:rsidR="0042211B" w:rsidRPr="0042211B" w:rsidRDefault="0042211B" w:rsidP="0042211B">
                  <w:pPr>
                    <w:jc w:val="center"/>
                    <w:rPr>
                      <w:lang w:val="lv-LV" w:eastAsia="ru-RU"/>
                    </w:rPr>
                  </w:pPr>
                  <w:r w:rsidRPr="0042211B">
                    <w:rPr>
                      <w:lang w:val="lv-LV" w:eastAsia="ru-RU"/>
                    </w:rPr>
                    <w:t>1 kg</w:t>
                  </w:r>
                </w:p>
              </w:tc>
              <w:tc>
                <w:tcPr>
                  <w:tcW w:w="1864" w:type="dxa"/>
                  <w:tcBorders>
                    <w:top w:val="single" w:sz="4" w:space="0" w:color="auto"/>
                    <w:left w:val="single" w:sz="8" w:space="0" w:color="auto"/>
                    <w:bottom w:val="single" w:sz="4" w:space="0" w:color="auto"/>
                    <w:right w:val="single" w:sz="8" w:space="0" w:color="auto"/>
                  </w:tcBorders>
                  <w:vAlign w:val="center"/>
                </w:tcPr>
                <w:p w:rsidR="0042211B" w:rsidRPr="0042211B" w:rsidRDefault="0042211B" w:rsidP="0042211B">
                  <w:pPr>
                    <w:jc w:val="center"/>
                    <w:rPr>
                      <w:b/>
                      <w:lang w:val="lv-LV" w:eastAsia="ru-RU"/>
                    </w:rPr>
                  </w:pPr>
                  <w:r w:rsidRPr="0042211B">
                    <w:rPr>
                      <w:b/>
                      <w:lang w:val="lv-LV" w:eastAsia="ru-RU"/>
                    </w:rPr>
                    <w:t>8.13</w:t>
                  </w:r>
                </w:p>
              </w:tc>
              <w:tc>
                <w:tcPr>
                  <w:tcW w:w="1375" w:type="dxa"/>
                  <w:tcBorders>
                    <w:top w:val="single" w:sz="4" w:space="0" w:color="auto"/>
                    <w:left w:val="single" w:sz="8" w:space="0" w:color="auto"/>
                    <w:bottom w:val="single" w:sz="4" w:space="0" w:color="auto"/>
                    <w:right w:val="single" w:sz="8" w:space="0" w:color="auto"/>
                  </w:tcBorders>
                  <w:vAlign w:val="center"/>
                </w:tcPr>
                <w:p w:rsidR="0042211B" w:rsidRPr="0042211B" w:rsidRDefault="0042211B" w:rsidP="0042211B">
                  <w:pPr>
                    <w:jc w:val="center"/>
                    <w:rPr>
                      <w:b/>
                      <w:lang w:val="lv-LV" w:eastAsia="ru-RU"/>
                    </w:rPr>
                  </w:pPr>
                  <w:r w:rsidRPr="0042211B">
                    <w:rPr>
                      <w:b/>
                      <w:lang w:val="lv-LV" w:eastAsia="ru-RU"/>
                    </w:rPr>
                    <w:t>9.83</w:t>
                  </w:r>
                </w:p>
              </w:tc>
            </w:tr>
          </w:tbl>
          <w:p w:rsidR="0042211B" w:rsidRPr="0042211B" w:rsidRDefault="0042211B" w:rsidP="0042211B">
            <w:pPr>
              <w:jc w:val="both"/>
              <w:rPr>
                <w:lang w:val="lv-LV" w:eastAsia="ru-RU"/>
              </w:rPr>
            </w:pPr>
          </w:p>
          <w:tbl>
            <w:tblPr>
              <w:tblStyle w:val="TableGrid"/>
              <w:tblW w:w="8109" w:type="dxa"/>
              <w:tblLayout w:type="fixed"/>
              <w:tblLook w:val="04A0" w:firstRow="1" w:lastRow="0" w:firstColumn="1" w:lastColumn="0" w:noHBand="0" w:noVBand="1"/>
            </w:tblPr>
            <w:tblGrid>
              <w:gridCol w:w="3006"/>
              <w:gridCol w:w="1864"/>
              <w:gridCol w:w="1864"/>
              <w:gridCol w:w="1375"/>
            </w:tblGrid>
            <w:tr w:rsidR="0042211B" w:rsidRPr="0042211B" w:rsidTr="0042211B">
              <w:tc>
                <w:tcPr>
                  <w:tcW w:w="3006" w:type="dxa"/>
                  <w:vAlign w:val="center"/>
                </w:tcPr>
                <w:p w:rsidR="0042211B" w:rsidRPr="0042211B" w:rsidRDefault="0042211B" w:rsidP="0042211B">
                  <w:pPr>
                    <w:rPr>
                      <w:b/>
                      <w:lang w:val="lv-LV" w:eastAsia="ru-RU"/>
                    </w:rPr>
                  </w:pPr>
                  <w:r w:rsidRPr="0042211B">
                    <w:rPr>
                      <w:b/>
                      <w:lang w:val="lv-LV" w:eastAsia="ru-RU"/>
                    </w:rPr>
                    <w:t>3.daļa</w:t>
                  </w:r>
                </w:p>
              </w:tc>
              <w:tc>
                <w:tcPr>
                  <w:tcW w:w="1864" w:type="dxa"/>
                  <w:vAlign w:val="center"/>
                </w:tcPr>
                <w:p w:rsidR="0042211B" w:rsidRPr="0042211B" w:rsidRDefault="0042211B" w:rsidP="0042211B">
                  <w:pPr>
                    <w:jc w:val="center"/>
                    <w:rPr>
                      <w:lang w:val="lv-LV" w:eastAsia="ru-RU"/>
                    </w:rPr>
                  </w:pPr>
                  <w:r w:rsidRPr="0042211B">
                    <w:rPr>
                      <w:lang w:val="lv-LV" w:eastAsia="ru-RU"/>
                    </w:rPr>
                    <w:t>Mērvienība</w:t>
                  </w:r>
                </w:p>
              </w:tc>
              <w:tc>
                <w:tcPr>
                  <w:tcW w:w="1864" w:type="dxa"/>
                  <w:tcBorders>
                    <w:top w:val="single" w:sz="8" w:space="0" w:color="auto"/>
                    <w:left w:val="single" w:sz="8" w:space="0" w:color="auto"/>
                    <w:bottom w:val="single" w:sz="8" w:space="0" w:color="auto"/>
                    <w:right w:val="single" w:sz="8" w:space="0" w:color="auto"/>
                  </w:tcBorders>
                  <w:vAlign w:val="center"/>
                </w:tcPr>
                <w:p w:rsidR="0042211B" w:rsidRPr="0042211B" w:rsidRDefault="0042211B" w:rsidP="0042211B">
                  <w:pPr>
                    <w:spacing w:after="120"/>
                    <w:jc w:val="center"/>
                    <w:rPr>
                      <w:bCs/>
                      <w:lang w:val="lv-LV" w:eastAsia="ru-RU"/>
                    </w:rPr>
                  </w:pPr>
                  <w:proofErr w:type="spellStart"/>
                  <w:r w:rsidRPr="0042211B">
                    <w:rPr>
                      <w:bCs/>
                      <w:lang w:val="lv-LV" w:eastAsia="ru-RU"/>
                    </w:rPr>
                    <w:t>Cens</w:t>
                  </w:r>
                  <w:proofErr w:type="spellEnd"/>
                  <w:r w:rsidRPr="0042211B">
                    <w:rPr>
                      <w:bCs/>
                      <w:lang w:val="lv-LV" w:eastAsia="ru-RU"/>
                    </w:rPr>
                    <w:t xml:space="preserve"> kopsumma EUR bez PVN</w:t>
                  </w:r>
                </w:p>
              </w:tc>
              <w:tc>
                <w:tcPr>
                  <w:tcW w:w="1375" w:type="dxa"/>
                  <w:tcBorders>
                    <w:top w:val="single" w:sz="8" w:space="0" w:color="auto"/>
                    <w:left w:val="single" w:sz="8" w:space="0" w:color="auto"/>
                    <w:bottom w:val="single" w:sz="8" w:space="0" w:color="auto"/>
                    <w:right w:val="single" w:sz="8" w:space="0" w:color="auto"/>
                  </w:tcBorders>
                  <w:vAlign w:val="center"/>
                </w:tcPr>
                <w:p w:rsidR="0042211B" w:rsidRPr="0042211B" w:rsidRDefault="0042211B" w:rsidP="0042211B">
                  <w:pPr>
                    <w:spacing w:after="120"/>
                    <w:jc w:val="center"/>
                    <w:rPr>
                      <w:bCs/>
                      <w:lang w:val="lv-LV" w:eastAsia="ru-RU"/>
                    </w:rPr>
                  </w:pPr>
                  <w:r w:rsidRPr="0042211B">
                    <w:rPr>
                      <w:bCs/>
                      <w:lang w:val="lv-LV" w:eastAsia="ru-RU"/>
                    </w:rPr>
                    <w:t>Cenas kopsumma EUR ar PVN</w:t>
                  </w:r>
                </w:p>
              </w:tc>
            </w:tr>
            <w:tr w:rsidR="0042211B" w:rsidRPr="0042211B" w:rsidTr="0042211B">
              <w:tc>
                <w:tcPr>
                  <w:tcW w:w="3006" w:type="dxa"/>
                  <w:vAlign w:val="center"/>
                </w:tcPr>
                <w:p w:rsidR="0042211B" w:rsidRPr="0042211B" w:rsidRDefault="0042211B" w:rsidP="0042211B">
                  <w:pPr>
                    <w:rPr>
                      <w:lang w:val="lv-LV" w:eastAsia="ru-RU"/>
                    </w:rPr>
                  </w:pPr>
                  <w:r w:rsidRPr="0042211B">
                    <w:rPr>
                      <w:lang w:val="lv-LV" w:eastAsia="ru-RU"/>
                    </w:rPr>
                    <w:t xml:space="preserve">NP TRNC 3.RTRC – Militārā bāze, </w:t>
                  </w:r>
                  <w:proofErr w:type="spellStart"/>
                  <w:r w:rsidRPr="0042211B">
                    <w:rPr>
                      <w:lang w:val="lv-LV" w:eastAsia="ru-RU"/>
                    </w:rPr>
                    <w:t>Kadaga</w:t>
                  </w:r>
                  <w:proofErr w:type="spellEnd"/>
                  <w:r w:rsidRPr="0042211B">
                    <w:rPr>
                      <w:lang w:val="lv-LV" w:eastAsia="ru-RU"/>
                    </w:rPr>
                    <w:t>, Ādažu nov.</w:t>
                  </w:r>
                </w:p>
              </w:tc>
              <w:tc>
                <w:tcPr>
                  <w:tcW w:w="1864" w:type="dxa"/>
                  <w:vAlign w:val="center"/>
                </w:tcPr>
                <w:p w:rsidR="0042211B" w:rsidRPr="0042211B" w:rsidRDefault="0042211B" w:rsidP="0042211B">
                  <w:pPr>
                    <w:jc w:val="center"/>
                    <w:rPr>
                      <w:lang w:val="lv-LV" w:eastAsia="ru-RU"/>
                    </w:rPr>
                  </w:pPr>
                  <w:r w:rsidRPr="0042211B">
                    <w:rPr>
                      <w:lang w:val="lv-LV" w:eastAsia="ru-RU"/>
                    </w:rPr>
                    <w:t>1 kg</w:t>
                  </w:r>
                </w:p>
              </w:tc>
              <w:tc>
                <w:tcPr>
                  <w:tcW w:w="1864" w:type="dxa"/>
                  <w:tcBorders>
                    <w:top w:val="single" w:sz="4" w:space="0" w:color="auto"/>
                    <w:left w:val="single" w:sz="8" w:space="0" w:color="auto"/>
                    <w:bottom w:val="single" w:sz="4" w:space="0" w:color="auto"/>
                    <w:right w:val="single" w:sz="8" w:space="0" w:color="auto"/>
                  </w:tcBorders>
                  <w:vAlign w:val="center"/>
                </w:tcPr>
                <w:p w:rsidR="0042211B" w:rsidRPr="0042211B" w:rsidRDefault="0042211B" w:rsidP="0042211B">
                  <w:pPr>
                    <w:jc w:val="center"/>
                    <w:rPr>
                      <w:b/>
                      <w:lang w:val="lv-LV" w:eastAsia="ru-RU"/>
                    </w:rPr>
                  </w:pPr>
                  <w:r w:rsidRPr="0042211B">
                    <w:rPr>
                      <w:b/>
                      <w:lang w:val="lv-LV" w:eastAsia="ru-RU"/>
                    </w:rPr>
                    <w:t>7.43</w:t>
                  </w:r>
                </w:p>
              </w:tc>
              <w:tc>
                <w:tcPr>
                  <w:tcW w:w="1375" w:type="dxa"/>
                  <w:tcBorders>
                    <w:top w:val="single" w:sz="4" w:space="0" w:color="auto"/>
                    <w:left w:val="single" w:sz="8" w:space="0" w:color="auto"/>
                    <w:bottom w:val="single" w:sz="4" w:space="0" w:color="auto"/>
                    <w:right w:val="single" w:sz="8" w:space="0" w:color="auto"/>
                  </w:tcBorders>
                  <w:vAlign w:val="center"/>
                </w:tcPr>
                <w:p w:rsidR="0042211B" w:rsidRPr="0042211B" w:rsidRDefault="0042211B" w:rsidP="0042211B">
                  <w:pPr>
                    <w:jc w:val="center"/>
                    <w:rPr>
                      <w:b/>
                      <w:lang w:val="lv-LV" w:eastAsia="ru-RU"/>
                    </w:rPr>
                  </w:pPr>
                  <w:r w:rsidRPr="0042211B">
                    <w:rPr>
                      <w:b/>
                      <w:lang w:val="lv-LV" w:eastAsia="ru-RU"/>
                    </w:rPr>
                    <w:t>8.98</w:t>
                  </w:r>
                </w:p>
              </w:tc>
            </w:tr>
          </w:tbl>
          <w:p w:rsidR="0042211B" w:rsidRPr="0042211B" w:rsidRDefault="0042211B" w:rsidP="0042211B">
            <w:pPr>
              <w:jc w:val="both"/>
              <w:rPr>
                <w:lang w:val="lv-LV" w:eastAsia="ru-RU"/>
              </w:rPr>
            </w:pPr>
          </w:p>
          <w:tbl>
            <w:tblPr>
              <w:tblStyle w:val="TableGrid"/>
              <w:tblW w:w="8109" w:type="dxa"/>
              <w:tblLayout w:type="fixed"/>
              <w:tblLook w:val="04A0" w:firstRow="1" w:lastRow="0" w:firstColumn="1" w:lastColumn="0" w:noHBand="0" w:noVBand="1"/>
            </w:tblPr>
            <w:tblGrid>
              <w:gridCol w:w="3006"/>
              <w:gridCol w:w="1864"/>
              <w:gridCol w:w="1864"/>
              <w:gridCol w:w="1375"/>
            </w:tblGrid>
            <w:tr w:rsidR="0042211B" w:rsidRPr="0042211B" w:rsidTr="0042211B">
              <w:tc>
                <w:tcPr>
                  <w:tcW w:w="3006" w:type="dxa"/>
                  <w:vAlign w:val="center"/>
                </w:tcPr>
                <w:p w:rsidR="0042211B" w:rsidRPr="0042211B" w:rsidRDefault="0042211B" w:rsidP="0042211B">
                  <w:pPr>
                    <w:rPr>
                      <w:b/>
                      <w:lang w:val="lv-LV" w:eastAsia="ru-RU"/>
                    </w:rPr>
                  </w:pPr>
                  <w:r w:rsidRPr="0042211B">
                    <w:rPr>
                      <w:b/>
                      <w:lang w:val="lv-LV" w:eastAsia="ru-RU"/>
                    </w:rPr>
                    <w:t>4.daļa</w:t>
                  </w:r>
                </w:p>
              </w:tc>
              <w:tc>
                <w:tcPr>
                  <w:tcW w:w="1864" w:type="dxa"/>
                  <w:vAlign w:val="center"/>
                </w:tcPr>
                <w:p w:rsidR="0042211B" w:rsidRPr="0042211B" w:rsidRDefault="0042211B" w:rsidP="0042211B">
                  <w:pPr>
                    <w:jc w:val="center"/>
                    <w:rPr>
                      <w:lang w:val="lv-LV" w:eastAsia="ru-RU"/>
                    </w:rPr>
                  </w:pPr>
                  <w:r w:rsidRPr="0042211B">
                    <w:rPr>
                      <w:lang w:val="lv-LV" w:eastAsia="ru-RU"/>
                    </w:rPr>
                    <w:t>Mērvienība</w:t>
                  </w:r>
                </w:p>
              </w:tc>
              <w:tc>
                <w:tcPr>
                  <w:tcW w:w="1864" w:type="dxa"/>
                  <w:tcBorders>
                    <w:top w:val="single" w:sz="8" w:space="0" w:color="auto"/>
                    <w:left w:val="single" w:sz="8" w:space="0" w:color="auto"/>
                    <w:bottom w:val="single" w:sz="8" w:space="0" w:color="auto"/>
                    <w:right w:val="single" w:sz="8" w:space="0" w:color="auto"/>
                  </w:tcBorders>
                  <w:vAlign w:val="center"/>
                </w:tcPr>
                <w:p w:rsidR="0042211B" w:rsidRPr="0042211B" w:rsidRDefault="0042211B" w:rsidP="0042211B">
                  <w:pPr>
                    <w:spacing w:after="120"/>
                    <w:jc w:val="center"/>
                    <w:rPr>
                      <w:bCs/>
                      <w:lang w:val="lv-LV" w:eastAsia="ru-RU"/>
                    </w:rPr>
                  </w:pPr>
                  <w:proofErr w:type="spellStart"/>
                  <w:r w:rsidRPr="0042211B">
                    <w:rPr>
                      <w:bCs/>
                      <w:lang w:val="lv-LV" w:eastAsia="ru-RU"/>
                    </w:rPr>
                    <w:t>Cens</w:t>
                  </w:r>
                  <w:proofErr w:type="spellEnd"/>
                  <w:r w:rsidRPr="0042211B">
                    <w:rPr>
                      <w:bCs/>
                      <w:lang w:val="lv-LV" w:eastAsia="ru-RU"/>
                    </w:rPr>
                    <w:t xml:space="preserve"> kopsumma EUR bez PVN</w:t>
                  </w:r>
                </w:p>
              </w:tc>
              <w:tc>
                <w:tcPr>
                  <w:tcW w:w="1375" w:type="dxa"/>
                  <w:tcBorders>
                    <w:top w:val="single" w:sz="8" w:space="0" w:color="auto"/>
                    <w:left w:val="single" w:sz="8" w:space="0" w:color="auto"/>
                    <w:bottom w:val="single" w:sz="8" w:space="0" w:color="auto"/>
                    <w:right w:val="single" w:sz="8" w:space="0" w:color="auto"/>
                  </w:tcBorders>
                  <w:vAlign w:val="center"/>
                </w:tcPr>
                <w:p w:rsidR="0042211B" w:rsidRPr="0042211B" w:rsidRDefault="0042211B" w:rsidP="0042211B">
                  <w:pPr>
                    <w:spacing w:after="120"/>
                    <w:jc w:val="center"/>
                    <w:rPr>
                      <w:bCs/>
                      <w:lang w:val="lv-LV" w:eastAsia="ru-RU"/>
                    </w:rPr>
                  </w:pPr>
                  <w:r w:rsidRPr="0042211B">
                    <w:rPr>
                      <w:bCs/>
                      <w:lang w:val="lv-LV" w:eastAsia="ru-RU"/>
                    </w:rPr>
                    <w:t>Cenas kopsumma EUR ar PVN</w:t>
                  </w:r>
                </w:p>
              </w:tc>
            </w:tr>
            <w:tr w:rsidR="0042211B" w:rsidRPr="0042211B" w:rsidTr="0042211B">
              <w:tc>
                <w:tcPr>
                  <w:tcW w:w="3006" w:type="dxa"/>
                  <w:vAlign w:val="center"/>
                </w:tcPr>
                <w:p w:rsidR="0042211B" w:rsidRPr="0042211B" w:rsidRDefault="0042211B" w:rsidP="0042211B">
                  <w:pPr>
                    <w:rPr>
                      <w:lang w:val="lv-LV" w:eastAsia="ru-RU"/>
                    </w:rPr>
                  </w:pPr>
                  <w:r w:rsidRPr="0042211B">
                    <w:rPr>
                      <w:lang w:val="lv-LV" w:eastAsia="ru-RU"/>
                    </w:rPr>
                    <w:t>NP TRNC 4.RTRC – Skanstes iela 8, Rīga</w:t>
                  </w:r>
                </w:p>
              </w:tc>
              <w:tc>
                <w:tcPr>
                  <w:tcW w:w="1864" w:type="dxa"/>
                  <w:vAlign w:val="center"/>
                </w:tcPr>
                <w:p w:rsidR="0042211B" w:rsidRPr="0042211B" w:rsidRDefault="0042211B" w:rsidP="0042211B">
                  <w:pPr>
                    <w:jc w:val="center"/>
                    <w:rPr>
                      <w:lang w:val="lv-LV" w:eastAsia="ru-RU"/>
                    </w:rPr>
                  </w:pPr>
                  <w:r w:rsidRPr="0042211B">
                    <w:rPr>
                      <w:lang w:val="lv-LV" w:eastAsia="ru-RU"/>
                    </w:rPr>
                    <w:t>1 kg</w:t>
                  </w:r>
                </w:p>
              </w:tc>
              <w:tc>
                <w:tcPr>
                  <w:tcW w:w="1864" w:type="dxa"/>
                  <w:tcBorders>
                    <w:top w:val="single" w:sz="4" w:space="0" w:color="auto"/>
                    <w:left w:val="single" w:sz="8" w:space="0" w:color="auto"/>
                    <w:bottom w:val="single" w:sz="4" w:space="0" w:color="auto"/>
                    <w:right w:val="single" w:sz="8" w:space="0" w:color="auto"/>
                  </w:tcBorders>
                  <w:vAlign w:val="center"/>
                </w:tcPr>
                <w:p w:rsidR="0042211B" w:rsidRPr="0042211B" w:rsidRDefault="0042211B" w:rsidP="0042211B">
                  <w:pPr>
                    <w:jc w:val="center"/>
                    <w:rPr>
                      <w:b/>
                      <w:lang w:val="lv-LV" w:eastAsia="ru-RU"/>
                    </w:rPr>
                  </w:pPr>
                  <w:r w:rsidRPr="0042211B">
                    <w:rPr>
                      <w:b/>
                      <w:lang w:val="lv-LV" w:eastAsia="ru-RU"/>
                    </w:rPr>
                    <w:t>7.08</w:t>
                  </w:r>
                </w:p>
              </w:tc>
              <w:tc>
                <w:tcPr>
                  <w:tcW w:w="1375" w:type="dxa"/>
                  <w:tcBorders>
                    <w:top w:val="single" w:sz="4" w:space="0" w:color="auto"/>
                    <w:left w:val="single" w:sz="8" w:space="0" w:color="auto"/>
                    <w:bottom w:val="single" w:sz="4" w:space="0" w:color="auto"/>
                    <w:right w:val="single" w:sz="8" w:space="0" w:color="auto"/>
                  </w:tcBorders>
                  <w:vAlign w:val="center"/>
                </w:tcPr>
                <w:p w:rsidR="0042211B" w:rsidRPr="0042211B" w:rsidRDefault="0042211B" w:rsidP="0042211B">
                  <w:pPr>
                    <w:jc w:val="center"/>
                    <w:rPr>
                      <w:b/>
                      <w:lang w:val="lv-LV" w:eastAsia="ru-RU"/>
                    </w:rPr>
                  </w:pPr>
                  <w:r w:rsidRPr="0042211B">
                    <w:rPr>
                      <w:b/>
                      <w:lang w:val="lv-LV" w:eastAsia="ru-RU"/>
                    </w:rPr>
                    <w:t>8.56</w:t>
                  </w:r>
                </w:p>
              </w:tc>
            </w:tr>
          </w:tbl>
          <w:p w:rsidR="0042211B" w:rsidRPr="0042211B" w:rsidRDefault="0042211B" w:rsidP="004723DA">
            <w:pPr>
              <w:pStyle w:val="Header"/>
              <w:tabs>
                <w:tab w:val="left" w:pos="720"/>
              </w:tabs>
              <w:rPr>
                <w:rFonts w:ascii="Times New Roman" w:hAnsi="Times New Roman"/>
                <w:sz w:val="20"/>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lastRenderedPageBreak/>
              <w:t>Piedāvājumu un pieteikumu atvēršanas vieta, datums un laiks:</w:t>
            </w:r>
          </w:p>
        </w:tc>
        <w:tc>
          <w:tcPr>
            <w:tcW w:w="8363" w:type="dxa"/>
            <w:vAlign w:val="center"/>
          </w:tcPr>
          <w:p w:rsidR="00416791" w:rsidRPr="005C6364" w:rsidRDefault="00416791" w:rsidP="00A842A8">
            <w:pPr>
              <w:pStyle w:val="Subtitle"/>
              <w:jc w:val="left"/>
              <w:rPr>
                <w:b w:val="0"/>
                <w:sz w:val="22"/>
                <w:szCs w:val="22"/>
              </w:rPr>
            </w:pPr>
            <w:r w:rsidRPr="005C6364">
              <w:rPr>
                <w:b w:val="0"/>
                <w:sz w:val="22"/>
                <w:szCs w:val="22"/>
              </w:rPr>
              <w:t xml:space="preserve">Vienības gatve 56, </w:t>
            </w:r>
            <w:r w:rsidR="00A842A8" w:rsidRPr="005C6364">
              <w:rPr>
                <w:b w:val="0"/>
                <w:sz w:val="22"/>
                <w:szCs w:val="22"/>
              </w:rPr>
              <w:t>30</w:t>
            </w:r>
            <w:r w:rsidR="00614FC1" w:rsidRPr="005C6364">
              <w:rPr>
                <w:b w:val="0"/>
                <w:sz w:val="22"/>
                <w:szCs w:val="22"/>
              </w:rPr>
              <w:t>.0</w:t>
            </w:r>
            <w:r w:rsidR="00161FB6" w:rsidRPr="005C6364">
              <w:rPr>
                <w:b w:val="0"/>
                <w:sz w:val="22"/>
                <w:szCs w:val="22"/>
              </w:rPr>
              <w:t>5</w:t>
            </w:r>
            <w:r w:rsidR="00614FC1" w:rsidRPr="005C6364">
              <w:rPr>
                <w:b w:val="0"/>
                <w:sz w:val="22"/>
                <w:szCs w:val="22"/>
              </w:rPr>
              <w:t>.2018., plkst. 11:00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5C6364" w:rsidRDefault="00161FB6" w:rsidP="00161FB6">
            <w:pPr>
              <w:pStyle w:val="Header"/>
              <w:tabs>
                <w:tab w:val="clear" w:pos="4320"/>
                <w:tab w:val="clear" w:pos="8640"/>
              </w:tabs>
              <w:rPr>
                <w:rFonts w:ascii="Times New Roman" w:hAnsi="Times New Roman"/>
                <w:sz w:val="22"/>
                <w:szCs w:val="22"/>
              </w:rPr>
            </w:pPr>
            <w:r w:rsidRPr="005C6364">
              <w:rPr>
                <w:rFonts w:ascii="Times New Roman" w:hAnsi="Times New Roman"/>
                <w:sz w:val="22"/>
                <w:szCs w:val="22"/>
              </w:rPr>
              <w:t>30</w:t>
            </w:r>
            <w:r w:rsidR="00E32280" w:rsidRPr="005C6364">
              <w:rPr>
                <w:rFonts w:ascii="Times New Roman" w:hAnsi="Times New Roman"/>
                <w:sz w:val="22"/>
                <w:szCs w:val="22"/>
              </w:rPr>
              <w:t>.</w:t>
            </w:r>
            <w:r w:rsidR="00540701" w:rsidRPr="005C6364">
              <w:rPr>
                <w:rFonts w:ascii="Times New Roman" w:hAnsi="Times New Roman"/>
                <w:sz w:val="22"/>
                <w:szCs w:val="22"/>
              </w:rPr>
              <w:t>0</w:t>
            </w:r>
            <w:r w:rsidRPr="005C6364">
              <w:rPr>
                <w:rFonts w:ascii="Times New Roman" w:hAnsi="Times New Roman"/>
                <w:sz w:val="22"/>
                <w:szCs w:val="22"/>
              </w:rPr>
              <w:t>5</w:t>
            </w:r>
            <w:r w:rsidR="00E32280" w:rsidRPr="005C6364">
              <w:rPr>
                <w:rFonts w:ascii="Times New Roman" w:hAnsi="Times New Roman"/>
                <w:sz w:val="22"/>
                <w:szCs w:val="22"/>
              </w:rPr>
              <w:t>.</w:t>
            </w:r>
            <w:r w:rsidR="00540701" w:rsidRPr="005C6364">
              <w:rPr>
                <w:rFonts w:ascii="Times New Roman" w:hAnsi="Times New Roman"/>
                <w:sz w:val="22"/>
                <w:szCs w:val="22"/>
              </w:rPr>
              <w:t>2018</w:t>
            </w:r>
            <w:r w:rsidR="00E32280" w:rsidRPr="005C6364">
              <w:rPr>
                <w:rFonts w:ascii="Times New Roman" w:hAnsi="Times New Roman"/>
                <w:sz w:val="22"/>
                <w:szCs w:val="22"/>
              </w:rPr>
              <w:t>.</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F85E5E" w:rsidRPr="005C6364" w:rsidRDefault="00161FB6" w:rsidP="00A842A8">
            <w:pPr>
              <w:rPr>
                <w:bCs/>
                <w:sz w:val="22"/>
                <w:szCs w:val="22"/>
                <w:lang w:val="lv-LV"/>
              </w:rPr>
            </w:pPr>
            <w:r w:rsidRPr="005C6364">
              <w:rPr>
                <w:sz w:val="22"/>
                <w:szCs w:val="22"/>
                <w:lang w:val="lv-LV"/>
              </w:rPr>
              <w:t>SIA “</w:t>
            </w:r>
            <w:proofErr w:type="spellStart"/>
            <w:r w:rsidR="00A842A8" w:rsidRPr="005C6364">
              <w:rPr>
                <w:sz w:val="22"/>
                <w:szCs w:val="22"/>
                <w:lang w:val="lv-LV"/>
              </w:rPr>
              <w:t>Lautus</w:t>
            </w:r>
            <w:proofErr w:type="spellEnd"/>
            <w:r w:rsidRPr="005C6364">
              <w:rPr>
                <w:sz w:val="22"/>
                <w:szCs w:val="22"/>
                <w:lang w:val="lv-LV"/>
              </w:rPr>
              <w:t xml:space="preserve">” </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5C6364" w:rsidRPr="005C6364" w:rsidRDefault="005C6364" w:rsidP="005C6364">
            <w:pPr>
              <w:jc w:val="both"/>
              <w:rPr>
                <w:b/>
                <w:sz w:val="22"/>
                <w:szCs w:val="22"/>
              </w:rPr>
            </w:pPr>
            <w:proofErr w:type="spellStart"/>
            <w:r w:rsidRPr="005C6364">
              <w:rPr>
                <w:sz w:val="22"/>
                <w:szCs w:val="22"/>
              </w:rPr>
              <w:t>Līguma</w:t>
            </w:r>
            <w:proofErr w:type="spellEnd"/>
            <w:r w:rsidRPr="005C6364">
              <w:rPr>
                <w:sz w:val="22"/>
                <w:szCs w:val="22"/>
              </w:rPr>
              <w:t xml:space="preserve"> </w:t>
            </w:r>
            <w:proofErr w:type="spellStart"/>
            <w:r w:rsidRPr="005C6364">
              <w:rPr>
                <w:sz w:val="22"/>
                <w:szCs w:val="22"/>
              </w:rPr>
              <w:t>slēgšanas</w:t>
            </w:r>
            <w:proofErr w:type="spellEnd"/>
            <w:r w:rsidRPr="005C6364">
              <w:rPr>
                <w:sz w:val="22"/>
                <w:szCs w:val="22"/>
              </w:rPr>
              <w:t xml:space="preserve"> </w:t>
            </w:r>
            <w:proofErr w:type="spellStart"/>
            <w:r w:rsidRPr="005C6364">
              <w:rPr>
                <w:sz w:val="22"/>
                <w:szCs w:val="22"/>
              </w:rPr>
              <w:t>tiesības</w:t>
            </w:r>
            <w:proofErr w:type="spellEnd"/>
            <w:r w:rsidRPr="005C6364">
              <w:rPr>
                <w:sz w:val="22"/>
                <w:szCs w:val="22"/>
              </w:rPr>
              <w:t xml:space="preserve"> </w:t>
            </w:r>
            <w:proofErr w:type="spellStart"/>
            <w:r w:rsidRPr="005C6364">
              <w:rPr>
                <w:sz w:val="22"/>
                <w:szCs w:val="22"/>
              </w:rPr>
              <w:t>tiks</w:t>
            </w:r>
            <w:proofErr w:type="spellEnd"/>
            <w:r w:rsidRPr="005C6364">
              <w:rPr>
                <w:sz w:val="22"/>
                <w:szCs w:val="22"/>
              </w:rPr>
              <w:t xml:space="preserve"> piešķirtas Pretendentam, kurš būs iesniedzis Iepirkuma noteikumu un Tehniskās specifikācijas (Pielikums Nr.2) prasībām atbilstošu piedāvājumu ar viszemāko kopsummu.</w:t>
            </w:r>
          </w:p>
          <w:p w:rsidR="00791276" w:rsidRPr="005C6364" w:rsidRDefault="00791276" w:rsidP="00652793">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E32280" w:rsidRPr="005C6364" w:rsidRDefault="00540701" w:rsidP="00540701">
            <w:pPr>
              <w:pStyle w:val="Header"/>
              <w:tabs>
                <w:tab w:val="clear" w:pos="4320"/>
                <w:tab w:val="clear" w:pos="8640"/>
              </w:tabs>
              <w:rPr>
                <w:rFonts w:ascii="Times New Roman" w:hAnsi="Times New Roman"/>
                <w:sz w:val="22"/>
                <w:szCs w:val="22"/>
              </w:rPr>
            </w:pPr>
            <w:r w:rsidRPr="005C6364">
              <w:rPr>
                <w:rFonts w:ascii="Times New Roman" w:hAnsi="Times New Roman"/>
                <w:sz w:val="22"/>
                <w:szCs w:val="22"/>
              </w:rPr>
              <w:t>NAV</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5C6364" w:rsidRDefault="000F6564" w:rsidP="00791276">
            <w:pPr>
              <w:rPr>
                <w:bCs/>
                <w:sz w:val="22"/>
                <w:szCs w:val="22"/>
                <w:lang w:val="lv-LV"/>
              </w:rPr>
            </w:pPr>
            <w:r w:rsidRPr="005C6364">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6364">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74B46"/>
    <w:rsid w:val="001A398A"/>
    <w:rsid w:val="001A427B"/>
    <w:rsid w:val="001B2854"/>
    <w:rsid w:val="001C7E5D"/>
    <w:rsid w:val="001D1DBD"/>
    <w:rsid w:val="001D505B"/>
    <w:rsid w:val="001E1F0A"/>
    <w:rsid w:val="001E4FC7"/>
    <w:rsid w:val="001F4F80"/>
    <w:rsid w:val="002269BA"/>
    <w:rsid w:val="002306D7"/>
    <w:rsid w:val="00255690"/>
    <w:rsid w:val="002667E2"/>
    <w:rsid w:val="0029360E"/>
    <w:rsid w:val="002A2610"/>
    <w:rsid w:val="002A34B6"/>
    <w:rsid w:val="002D56A3"/>
    <w:rsid w:val="002D795F"/>
    <w:rsid w:val="002F6617"/>
    <w:rsid w:val="00323B89"/>
    <w:rsid w:val="00324004"/>
    <w:rsid w:val="0033130E"/>
    <w:rsid w:val="00333DDD"/>
    <w:rsid w:val="00360EE9"/>
    <w:rsid w:val="00363C2D"/>
    <w:rsid w:val="00372218"/>
    <w:rsid w:val="003A4A8B"/>
    <w:rsid w:val="003D39E2"/>
    <w:rsid w:val="003E7B22"/>
    <w:rsid w:val="003F6558"/>
    <w:rsid w:val="0040191A"/>
    <w:rsid w:val="00405D17"/>
    <w:rsid w:val="00407736"/>
    <w:rsid w:val="00410DC7"/>
    <w:rsid w:val="0041477C"/>
    <w:rsid w:val="00416791"/>
    <w:rsid w:val="0042211B"/>
    <w:rsid w:val="00426965"/>
    <w:rsid w:val="00446CDC"/>
    <w:rsid w:val="004723DA"/>
    <w:rsid w:val="004818D9"/>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C6364"/>
    <w:rsid w:val="005D392A"/>
    <w:rsid w:val="005E68E2"/>
    <w:rsid w:val="005F2934"/>
    <w:rsid w:val="00614FC1"/>
    <w:rsid w:val="00632AB1"/>
    <w:rsid w:val="00633925"/>
    <w:rsid w:val="00640CE5"/>
    <w:rsid w:val="0065064C"/>
    <w:rsid w:val="00652793"/>
    <w:rsid w:val="00652A4D"/>
    <w:rsid w:val="00664FC2"/>
    <w:rsid w:val="00667AFC"/>
    <w:rsid w:val="00667EB6"/>
    <w:rsid w:val="00676297"/>
    <w:rsid w:val="006909BE"/>
    <w:rsid w:val="00691292"/>
    <w:rsid w:val="006A6B2B"/>
    <w:rsid w:val="006B49C1"/>
    <w:rsid w:val="006F5B41"/>
    <w:rsid w:val="00703EC7"/>
    <w:rsid w:val="007203C9"/>
    <w:rsid w:val="00720BF3"/>
    <w:rsid w:val="0073341A"/>
    <w:rsid w:val="007700F8"/>
    <w:rsid w:val="00782E46"/>
    <w:rsid w:val="00786362"/>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4708"/>
    <w:rsid w:val="008C59B1"/>
    <w:rsid w:val="008C617A"/>
    <w:rsid w:val="008D257C"/>
    <w:rsid w:val="008E05C3"/>
    <w:rsid w:val="009112A1"/>
    <w:rsid w:val="00917396"/>
    <w:rsid w:val="00923B60"/>
    <w:rsid w:val="00935D42"/>
    <w:rsid w:val="00942570"/>
    <w:rsid w:val="00952AB5"/>
    <w:rsid w:val="009545AF"/>
    <w:rsid w:val="0096433D"/>
    <w:rsid w:val="009C2606"/>
    <w:rsid w:val="009E0736"/>
    <w:rsid w:val="009F4B65"/>
    <w:rsid w:val="00A06C13"/>
    <w:rsid w:val="00A137E5"/>
    <w:rsid w:val="00A35152"/>
    <w:rsid w:val="00A36E10"/>
    <w:rsid w:val="00A43790"/>
    <w:rsid w:val="00A45574"/>
    <w:rsid w:val="00A563D2"/>
    <w:rsid w:val="00A842A8"/>
    <w:rsid w:val="00AA2CF8"/>
    <w:rsid w:val="00AB18A7"/>
    <w:rsid w:val="00AE521F"/>
    <w:rsid w:val="00B13CD5"/>
    <w:rsid w:val="00B26142"/>
    <w:rsid w:val="00B3431F"/>
    <w:rsid w:val="00B45ACE"/>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536BE"/>
    <w:rsid w:val="00C56D32"/>
    <w:rsid w:val="00C76FE0"/>
    <w:rsid w:val="00C77E71"/>
    <w:rsid w:val="00C8119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 w:type="table" w:styleId="TableGrid">
    <w:name w:val="Table Grid"/>
    <w:basedOn w:val="TableNormal"/>
    <w:rsid w:val="00422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1561</Words>
  <Characters>890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Kristīne Pikunova</cp:lastModifiedBy>
  <cp:revision>44</cp:revision>
  <cp:lastPrinted>2013-07-30T13:57:00Z</cp:lastPrinted>
  <dcterms:created xsi:type="dcterms:W3CDTF">2017-05-24T05:48:00Z</dcterms:created>
  <dcterms:modified xsi:type="dcterms:W3CDTF">2018-05-31T06:35:00Z</dcterms:modified>
</cp:coreProperties>
</file>